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entury Gothic" w:cs="Century Gothic" w:eastAsia="Century Gothic" w:hAnsi="Century Gothic"/>
          <w:b w:val="1"/>
          <w:color w:val="941100"/>
          <w:sz w:val="72"/>
          <w:szCs w:val="72"/>
        </w:rPr>
      </w:pPr>
      <w:r w:rsidDel="00000000" w:rsidR="00000000" w:rsidRPr="00000000">
        <w:rPr>
          <w:rFonts w:ascii="Century Gothic" w:cs="Century Gothic" w:eastAsia="Century Gothic" w:hAnsi="Century Gothic"/>
          <w:b w:val="1"/>
          <w:color w:val="941100"/>
          <w:sz w:val="72"/>
          <w:szCs w:val="72"/>
        </w:rPr>
        <w:drawing>
          <wp:inline distB="0" distT="0" distL="0" distR="0">
            <wp:extent cx="4677482" cy="980690"/>
            <wp:effectExtent b="0" l="0" r="0" t="0"/>
            <wp:docPr id="7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677482" cy="98069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3">
      <w:pPr>
        <w:jc w:val="right"/>
        <w:rPr>
          <w:rFonts w:ascii="Century Gothic" w:cs="Century Gothic" w:eastAsia="Century Gothic" w:hAnsi="Century Gothic"/>
          <w:b w:val="1"/>
          <w:color w:val="941100"/>
          <w:sz w:val="72"/>
          <w:szCs w:val="72"/>
        </w:rPr>
      </w:pP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color w:val="941100"/>
          <w:sz w:val="72"/>
          <w:szCs w:val="72"/>
          <w:rtl w:val="0"/>
        </w:rPr>
        <w:t xml:space="preserve">FORMATO DE ESTUDIO DE MERCADO</w:t>
      </w:r>
      <w:r w:rsidDel="00000000" w:rsidR="00000000" w:rsidRPr="00000000">
        <w:rPr>
          <w:rtl w:val="0"/>
        </w:rPr>
      </w:r>
    </w:p>
    <w:p w:rsidR="00000000" w:rsidDel="00000000" w:rsidP="00000000" w:rsidRDefault="00000000" w:rsidRPr="00000000" w14:paraId="00000005">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6">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rPr>
          <w:rFonts w:ascii="Century Gothic" w:cs="Century Gothic" w:eastAsia="Century Gothic" w:hAnsi="Century Gothic"/>
          <w:b w:val="1"/>
        </w:rPr>
      </w:pPr>
      <w:r w:rsidDel="00000000" w:rsidR="00000000" w:rsidRPr="00000000">
        <w:rPr>
          <w:rtl w:val="0"/>
        </w:rPr>
      </w:r>
    </w:p>
    <w:tbl>
      <w:tblPr>
        <w:tblStyle w:val="Table1"/>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3397"/>
        <w:gridCol w:w="5431"/>
        <w:tblGridChange w:id="0">
          <w:tblGrid>
            <w:gridCol w:w="3397"/>
            <w:gridCol w:w="5431"/>
          </w:tblGrid>
        </w:tblGridChange>
      </w:tblGrid>
      <w:tr>
        <w:trPr>
          <w:cantSplit w:val="0"/>
          <w:trHeight w:val="1921" w:hRule="atLeast"/>
          <w:tblHeader w:val="0"/>
        </w:trPr>
        <w:tc>
          <w:tcPr>
            <w:shd w:fill="002060" w:val="clear"/>
            <w:vAlign w:val="center"/>
          </w:tcPr>
          <w:p w:rsidR="00000000" w:rsidDel="00000000" w:rsidP="00000000" w:rsidRDefault="00000000" w:rsidRPr="00000000" w14:paraId="0000000A">
            <w:pPr>
              <w:jc w:val="center"/>
              <w:rPr>
                <w:rFonts w:ascii="Century Gothic" w:cs="Century Gothic" w:eastAsia="Century Gothic" w:hAnsi="Century Gothic"/>
                <w:b w:val="1"/>
                <w:color w:val="ffffff"/>
                <w:sz w:val="28"/>
                <w:szCs w:val="28"/>
              </w:rPr>
            </w:pPr>
            <w:bookmarkStart w:colFirst="0" w:colLast="0" w:name="_heading=h.gjdgxs" w:id="0"/>
            <w:bookmarkEnd w:id="0"/>
            <w:r w:rsidDel="00000000" w:rsidR="00000000" w:rsidRPr="00000000">
              <w:rPr>
                <w:rFonts w:ascii="Century Gothic" w:cs="Century Gothic" w:eastAsia="Century Gothic" w:hAnsi="Century Gothic"/>
                <w:b w:val="1"/>
                <w:color w:val="ffffff"/>
                <w:sz w:val="28"/>
                <w:szCs w:val="28"/>
                <w:rtl w:val="0"/>
              </w:rPr>
              <w:t xml:space="preserve">Proyecto Modelo No. 4</w:t>
            </w:r>
          </w:p>
        </w:tc>
        <w:tc>
          <w:tcPr>
            <w:shd w:fill="8eaadb" w:val="clear"/>
            <w:vAlign w:val="center"/>
          </w:tcPr>
          <w:p w:rsidR="00000000" w:rsidDel="00000000" w:rsidP="00000000" w:rsidRDefault="00000000" w:rsidRPr="00000000" w14:paraId="0000000B">
            <w:pPr>
              <w:jc w:val="center"/>
              <w:rPr>
                <w:rFonts w:ascii="Century Gothic" w:cs="Century Gothic" w:eastAsia="Century Gothic" w:hAnsi="Century Gothic"/>
                <w:b w:val="1"/>
                <w:color w:val="ff0000"/>
                <w:sz w:val="28"/>
                <w:szCs w:val="28"/>
              </w:rPr>
            </w:pPr>
            <w:r w:rsidDel="00000000" w:rsidR="00000000" w:rsidRPr="00000000">
              <w:rPr>
                <w:rFonts w:ascii="Century Gothic" w:cs="Century Gothic" w:eastAsia="Century Gothic" w:hAnsi="Century Gothic"/>
                <w:b w:val="1"/>
                <w:color w:val="002060"/>
                <w:rtl w:val="0"/>
              </w:rPr>
              <w:t xml:space="preserve">Implementación de estrategias para el desarrollo de mercados y el fomento de la cultura exportadora de las MIPYMES en el Departamento del </w:t>
            </w:r>
            <w:r w:rsidDel="00000000" w:rsidR="00000000" w:rsidRPr="00000000">
              <w:rPr>
                <w:rFonts w:ascii="Century Gothic" w:cs="Century Gothic" w:eastAsia="Century Gothic" w:hAnsi="Century Gothic"/>
                <w:b w:val="1"/>
                <w:color w:val="ff0000"/>
                <w:rtl w:val="0"/>
              </w:rPr>
              <w:t xml:space="preserve">Cauca</w:t>
            </w:r>
            <w:r w:rsidDel="00000000" w:rsidR="00000000" w:rsidRPr="00000000">
              <w:rPr>
                <w:rtl w:val="0"/>
              </w:rPr>
            </w:r>
          </w:p>
        </w:tc>
      </w:tr>
    </w:tbl>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360" w:lineRule="auto"/>
        <w:jc w:val="center"/>
        <w:rPr>
          <w:rFonts w:ascii="Century Gothic" w:cs="Century Gothic" w:eastAsia="Century Gothic" w:hAnsi="Century Gothic"/>
          <w:b w:val="1"/>
          <w:color w:val="002060"/>
        </w:rPr>
      </w:pPr>
      <w:r w:rsidDel="00000000" w:rsidR="00000000" w:rsidRPr="00000000">
        <w:rPr>
          <w:rtl w:val="0"/>
        </w:rPr>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360" w:lineRule="auto"/>
        <w:rPr>
          <w:rFonts w:ascii="Century Gothic" w:cs="Century Gothic" w:eastAsia="Century Gothic" w:hAnsi="Century Gothic"/>
          <w:b w:val="1"/>
          <w:color w:val="002060"/>
          <w:sz w:val="28"/>
          <w:szCs w:val="28"/>
        </w:rPr>
      </w:pPr>
      <w:r w:rsidDel="00000000" w:rsidR="00000000" w:rsidRPr="00000000">
        <w:rPr>
          <w:rtl w:val="0"/>
        </w:rPr>
      </w:r>
    </w:p>
    <w:p w:rsidR="00000000" w:rsidDel="00000000" w:rsidP="00000000" w:rsidRDefault="00000000" w:rsidRPr="00000000" w14:paraId="0000000E">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line="360" w:lineRule="auto"/>
        <w:jc w:val="both"/>
        <w:rPr>
          <w:rFonts w:ascii="Century Gothic" w:cs="Century Gothic" w:eastAsia="Century Gothic" w:hAnsi="Century Gothic"/>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center" w:pos="4419"/>
          <w:tab w:val="right" w:pos="8838"/>
        </w:tabs>
        <w:spacing w:line="360" w:lineRule="auto"/>
        <w:jc w:val="center"/>
        <w:rPr>
          <w:rFonts w:ascii="Century Gothic" w:cs="Century Gothic" w:eastAsia="Century Gothic" w:hAnsi="Century Gothic"/>
          <w:color w:val="000000"/>
        </w:rPr>
      </w:pPr>
      <w:r w:rsidDel="00000000" w:rsidR="00000000" w:rsidRPr="00000000">
        <w:rPr>
          <w:rFonts w:ascii="Century Gothic" w:cs="Century Gothic" w:eastAsia="Century Gothic" w:hAnsi="Century Gothic"/>
        </w:rPr>
        <w:drawing>
          <wp:inline distB="0" distT="0" distL="0" distR="0">
            <wp:extent cx="3655373" cy="668117"/>
            <wp:effectExtent b="0" l="0" r="0" t="0"/>
            <wp:docPr id="79" name="image4.jpg"/>
            <a:graphic>
              <a:graphicData uri="http://schemas.openxmlformats.org/drawingml/2006/picture">
                <pic:pic>
                  <pic:nvPicPr>
                    <pic:cNvPr id="0" name="image4.jpg"/>
                    <pic:cNvPicPr preferRelativeResize="0"/>
                  </pic:nvPicPr>
                  <pic:blipFill>
                    <a:blip r:embed="rId8"/>
                    <a:srcRect b="0" l="0" r="12910" t="0"/>
                    <a:stretch>
                      <a:fillRect/>
                    </a:stretch>
                  </pic:blipFill>
                  <pic:spPr>
                    <a:xfrm>
                      <a:off x="0" y="0"/>
                      <a:ext cx="3655373" cy="668117"/>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284" w:firstLine="0"/>
        <w:jc w:val="center"/>
        <w:rPr>
          <w:rFonts w:ascii="Century Gothic" w:cs="Century Gothic" w:eastAsia="Century Gothic" w:hAnsi="Century Gothic"/>
          <w:b w:val="1"/>
          <w:color w:val="941100"/>
          <w:sz w:val="52"/>
          <w:szCs w:val="52"/>
        </w:rPr>
      </w:pPr>
      <w:r w:rsidDel="00000000" w:rsidR="00000000" w:rsidRPr="00000000">
        <w:rPr>
          <w:rFonts w:ascii="Century Gothic" w:cs="Century Gothic" w:eastAsia="Century Gothic" w:hAnsi="Century Gothic"/>
          <w:color w:val="000000"/>
        </w:rPr>
        <w:drawing>
          <wp:inline distB="0" distT="0" distL="0" distR="0">
            <wp:extent cx="2099616" cy="746123"/>
            <wp:effectExtent b="0" l="0" r="0" t="0"/>
            <wp:docPr descr="C:\Users\acetina\AppData\Local\Microsoft\Windows\INetCache\Content.Word\Logo Confecámaras.png" id="78" name="image2.png"/>
            <a:graphic>
              <a:graphicData uri="http://schemas.openxmlformats.org/drawingml/2006/picture">
                <pic:pic>
                  <pic:nvPicPr>
                    <pic:cNvPr descr="C:\Users\acetina\AppData\Local\Microsoft\Windows\INetCache\Content.Word\Logo Confecámaras.png" id="0" name="image2.png"/>
                    <pic:cNvPicPr preferRelativeResize="0"/>
                  </pic:nvPicPr>
                  <pic:blipFill>
                    <a:blip r:embed="rId9"/>
                    <a:srcRect b="0" l="0" r="0" t="0"/>
                    <a:stretch>
                      <a:fillRect/>
                    </a:stretch>
                  </pic:blipFill>
                  <pic:spPr>
                    <a:xfrm>
                      <a:off x="0" y="0"/>
                      <a:ext cx="2099616" cy="746123"/>
                    </a:xfrm>
                    <a:prstGeom prst="rect"/>
                    <a:ln/>
                  </pic:spPr>
                </pic:pic>
              </a:graphicData>
            </a:graphic>
          </wp:inline>
        </w:drawing>
      </w:r>
      <w:r w:rsidDel="00000000" w:rsidR="00000000" w:rsidRPr="00000000">
        <w:rPr>
          <w:rFonts w:ascii="Century Gothic" w:cs="Century Gothic" w:eastAsia="Century Gothic" w:hAnsi="Century Gothic"/>
          <w:color w:val="2f5496"/>
        </w:rPr>
        <w:drawing>
          <wp:inline distB="0" distT="0" distL="0" distR="0">
            <wp:extent cx="1319637" cy="905339"/>
            <wp:effectExtent b="0" l="0" r="0" t="0"/>
            <wp:docPr descr="Logotipo, nombre de la empresa&#10;&#10;Descripción generada automáticamente" id="80" name="image1.png"/>
            <a:graphic>
              <a:graphicData uri="http://schemas.openxmlformats.org/drawingml/2006/picture">
                <pic:pic>
                  <pic:nvPicPr>
                    <pic:cNvPr descr="Logotipo, nombre de la empresa&#10;&#10;Descripción generada automáticamente" id="0" name="image1.png"/>
                    <pic:cNvPicPr preferRelativeResize="0"/>
                  </pic:nvPicPr>
                  <pic:blipFill>
                    <a:blip r:embed="rId10"/>
                    <a:srcRect b="0" l="0" r="0" t="0"/>
                    <a:stretch>
                      <a:fillRect/>
                    </a:stretch>
                  </pic:blipFill>
                  <pic:spPr>
                    <a:xfrm>
                      <a:off x="0" y="0"/>
                      <a:ext cx="1319637" cy="905339"/>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1080" w:firstLine="0"/>
        <w:jc w:val="both"/>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360" w:hanging="36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Introducción</w:t>
      </w:r>
    </w:p>
    <w:p w:rsidR="00000000" w:rsidDel="00000000" w:rsidP="00000000" w:rsidRDefault="00000000" w:rsidRPr="00000000" w14:paraId="00000019">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1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presente documento de estudio de mercado tiene como propósito describir y orientar el proceso de construcción de los rubros presupuestales que componen el proyecto de inversión, a fin de determinar el costo total del mismo en el Departamento seleccionado para su formulación y/o ejecución.</w:t>
      </w:r>
    </w:p>
    <w:p w:rsidR="00000000" w:rsidDel="00000000" w:rsidP="00000000" w:rsidRDefault="00000000" w:rsidRPr="00000000" w14:paraId="0000001B">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El presupuesto que soporta la formulación del proyecto permite conocer la oferta de las diferentes actividades que se pretenden desarrollar en el proyecto, y evidencian los precios de referencia en el mercado actual. </w:t>
      </w:r>
    </w:p>
    <w:p w:rsidR="00000000" w:rsidDel="00000000" w:rsidP="00000000" w:rsidRDefault="00000000" w:rsidRPr="00000000" w14:paraId="0000001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1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presente documento, se presentan los valores del mercado actual con los cuales se realiza el análisis de estudio mercado, sin embargo según el Departamento de implementación, el equipo formulador deberá buscar por rubro mínimo (3) empresas con los cuales se soporta y  justifica los valores finales del presupuesto, así mismo se deberá adjuntar los respectivos soportes a cada rubro. De presentarse Proveedor exclusivo, este deberá ser justificado.</w:t>
      </w:r>
    </w:p>
    <w:p w:rsidR="00000000" w:rsidDel="00000000" w:rsidP="00000000" w:rsidRDefault="00000000" w:rsidRPr="00000000" w14:paraId="0000001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 continuación, se describen los rubros que componen la estructura del presupuesto, y se sustenta el precio de referencia señalado en cada uno de ellos: </w:t>
      </w:r>
    </w:p>
    <w:p w:rsidR="00000000" w:rsidDel="00000000" w:rsidP="00000000" w:rsidRDefault="00000000" w:rsidRPr="00000000" w14:paraId="00000021">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Resumen del presupuesto.</w:t>
      </w:r>
    </w:p>
    <w:p w:rsidR="00000000" w:rsidDel="00000000" w:rsidP="00000000" w:rsidRDefault="00000000" w:rsidRPr="00000000" w14:paraId="0000002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sz w:val="22"/>
          <w:szCs w:val="22"/>
          <w:rtl w:val="0"/>
        </w:rPr>
        <w:t xml:space="preserve">Esta pestaña permite visualizar los costos totales por cada uno de los rubros que componen presupuesto que soporta la formulación del proyecto, así mismo evidenciar la participación financiera de los diferentes aliados, así como los recursos con los cuales será financiado el proyecto de inversión. </w:t>
      </w: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6">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Talento Humano.</w:t>
      </w:r>
      <w:r w:rsidDel="00000000" w:rsidR="00000000" w:rsidRPr="00000000">
        <w:rPr>
          <w:rtl w:val="0"/>
        </w:rPr>
      </w:r>
    </w:p>
    <w:p w:rsidR="00000000" w:rsidDel="00000000" w:rsidP="00000000" w:rsidRDefault="00000000" w:rsidRPr="00000000" w14:paraId="00000027">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registra la información relacionada con todos los perfiles y cargos de las personas que conformarán el proyecto, rol, y funciones, los cuales tendrán una participación transversal (duración total del proyecto) y/o aquellos que tienen una participación limitada según el cronograma de cada una de las actividades que compone el proyecto.</w:t>
      </w:r>
    </w:p>
    <w:p w:rsidR="00000000" w:rsidDel="00000000" w:rsidP="00000000" w:rsidRDefault="00000000" w:rsidRPr="00000000" w14:paraId="0000002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del presupuesto elaborado a este proyecto modelo el cálculo del costo del talento humano, se toma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02B">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02C">
      <w:pPr>
        <w:jc w:val="both"/>
        <w:rPr>
          <w:rFonts w:ascii="Century Gothic" w:cs="Century Gothic" w:eastAsia="Century Gothic" w:hAnsi="Century Gothic"/>
          <w:color w:val="0000ff"/>
          <w:sz w:val="22"/>
          <w:szCs w:val="22"/>
        </w:rPr>
      </w:pPr>
      <w:hyperlink r:id="rId11">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02D">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de la elaboración del rubro, se aclara que tomar la referencia no es una condición obligatoria o limitante, para la elaboración de presupuestos en el marco del proyecto modelo. Los costos de talento humano también podrán ser calculados con base a las diferentes resoluciones de honorarios establecidos en los diferentes Departamentos y/o Entidades proponentes del proyecto. </w:t>
      </w:r>
    </w:p>
    <w:p w:rsidR="00000000" w:rsidDel="00000000" w:rsidP="00000000" w:rsidRDefault="00000000" w:rsidRPr="00000000" w14:paraId="0000002F">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Capacitación/ socializaciones.</w:t>
      </w: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3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Este rubro presenta todas las acciones que en el marco de la ejecución presupuestal requieran de eventos de formación, y mesas de trabajo que requieran la participación de la comunidad, ya sea por el cumplimiento de una meta, para la elaboración de un producto y/o entregable del proyecto de Inversión. </w:t>
      </w:r>
    </w:p>
    <w:p w:rsidR="00000000" w:rsidDel="00000000" w:rsidP="00000000" w:rsidRDefault="00000000" w:rsidRPr="00000000" w14:paraId="0000003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del modelo Proyecto, este rubro se contempló con cada uno de los insumos requeridos para desarrollar las diferentes sesiones de trabajo, y del seminario especializado en tendencias de comercio internacional, sin embargo, esta labor también puede ser cotizada por un proveedor que realice y tenga experiencia en el desarrollo de actividades que enmarcan el propósito del proyecto y de las temáticas descritas en cada una de las metodologías. </w:t>
      </w:r>
    </w:p>
    <w:p w:rsidR="00000000" w:rsidDel="00000000" w:rsidP="00000000" w:rsidRDefault="00000000" w:rsidRPr="00000000" w14:paraId="0000003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w:t>
      </w:r>
      <w:r w:rsidDel="00000000" w:rsidR="00000000" w:rsidRPr="00000000">
        <w:rPr>
          <w:rFonts w:ascii="Century Gothic" w:cs="Century Gothic" w:eastAsia="Century Gothic" w:hAnsi="Century Gothic"/>
          <w:b w:val="1"/>
          <w:rtl w:val="0"/>
        </w:rPr>
        <w:t xml:space="preserve">“Implementación de estrategias para el desarrollo de mercados y el fomento de la cultura exportadora de las MIPYMES en el Departamento del Cauca</w:t>
      </w:r>
      <w:r w:rsidDel="00000000" w:rsidR="00000000" w:rsidRPr="00000000">
        <w:rPr>
          <w:rFonts w:ascii="Century Gothic" w:cs="Century Gothic" w:eastAsia="Century Gothic" w:hAnsi="Century Gothic"/>
          <w:sz w:val="22"/>
          <w:szCs w:val="22"/>
          <w:rtl w:val="0"/>
        </w:rPr>
        <w:t xml:space="preserve">” en el Rubro de capacitación se desarrolla la </w:t>
      </w:r>
      <w:r w:rsidDel="00000000" w:rsidR="00000000" w:rsidRPr="00000000">
        <w:rPr>
          <w:rFonts w:ascii="Century Gothic" w:cs="Century Gothic" w:eastAsia="Century Gothic" w:hAnsi="Century Gothic"/>
          <w:b w:val="1"/>
          <w:rtl w:val="0"/>
        </w:rPr>
        <w:t xml:space="preserve">Actividad 1.2. Identificar las barreras de acceso a mercados internacionales de las empresas de la cadena productiva de interés. y Actividad 2.2 Realizar el seminario especializado en “Tendencias del Comercio Internacional: desafíos y retos para el acceso a nuevos mercados</w:t>
      </w:r>
      <w:r w:rsidDel="00000000" w:rsidR="00000000" w:rsidRPr="00000000">
        <w:rPr>
          <w:rFonts w:ascii="Century Gothic" w:cs="Century Gothic" w:eastAsia="Century Gothic" w:hAnsi="Century Gothic"/>
          <w:b w:val="1"/>
          <w:i w:val="1"/>
          <w:sz w:val="22"/>
          <w:szCs w:val="22"/>
          <w:rtl w:val="0"/>
        </w:rPr>
        <w:t xml:space="preserve">”</w:t>
      </w:r>
      <w:r w:rsidDel="00000000" w:rsidR="00000000" w:rsidRPr="00000000">
        <w:rPr>
          <w:rtl w:val="0"/>
        </w:rPr>
      </w:r>
    </w:p>
    <w:p w:rsidR="00000000" w:rsidDel="00000000" w:rsidP="00000000" w:rsidRDefault="00000000" w:rsidRPr="00000000" w14:paraId="00000037">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Con el objetivo de costear esta actividad, se contemplaron los costos variables, costos fijos y costos de transporte con los que cuenta la ejecución de la misma, y se detallan a continuación: </w:t>
      </w:r>
    </w:p>
    <w:p w:rsidR="00000000" w:rsidDel="00000000" w:rsidP="00000000" w:rsidRDefault="00000000" w:rsidRPr="00000000" w14:paraId="00000039">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A">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B">
      <w:pPr>
        <w:jc w:val="both"/>
        <w:rPr>
          <w:rFonts w:ascii="Century Gothic" w:cs="Century Gothic" w:eastAsia="Century Gothic" w:hAnsi="Century Gothic"/>
          <w:sz w:val="22"/>
          <w:szCs w:val="22"/>
        </w:rPr>
      </w:pPr>
      <w:r w:rsidDel="00000000" w:rsidR="00000000" w:rsidRPr="00000000">
        <w:rPr>
          <w:rtl w:val="0"/>
        </w:rPr>
      </w:r>
    </w:p>
    <w:tbl>
      <w:tblPr>
        <w:tblStyle w:val="Table2"/>
        <w:tblW w:w="882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740"/>
        <w:gridCol w:w="3690"/>
        <w:gridCol w:w="3395"/>
        <w:tblGridChange w:id="0">
          <w:tblGrid>
            <w:gridCol w:w="1740"/>
            <w:gridCol w:w="3690"/>
            <w:gridCol w:w="3395"/>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3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VARIABLES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3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especializado para el desarrollo del taller en las temáticas propuestas en cada una de las metodologías, es el encargado de transferir conocimientos, motivar e incentivar a los empresarios del Departamento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4">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del tallerista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4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costos correspondientes a los espacios dispuestos y en condiciones tecnológicas para el desarrollo de los talleres y/o eventos de formación que requieren la participación de la Comunidad, para efectos del presupuesto se costea y se toma como referentes el alquiler de los Auditorios de la Cámaras de comercio del Departamento, y Auditorios de cajas de compensación. </w:t>
            </w:r>
          </w:p>
          <w:p w:rsidR="00000000" w:rsidDel="00000000" w:rsidP="00000000" w:rsidRDefault="00000000" w:rsidRPr="00000000" w14:paraId="0000004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Dependiendo del Aliado en la región, en el proceso de formulación se podrá establecer este gasto como contrapartida, si los aliados están de acuerdo.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tienen en cuenta los costos de alquiler de la cámara de comercio de la Capital del Departamento (Popayan) por Hora con la disponibilidad de ayudas audiovisuales (video beam, computador, y mobiliario (sillas, mesas, tablero y/o marcadores) y estación de café. </w:t>
            </w:r>
          </w:p>
          <w:p w:rsidR="00000000" w:rsidDel="00000000" w:rsidP="00000000" w:rsidRDefault="00000000" w:rsidRPr="00000000" w14:paraId="0000004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tbl>
            <w:tblPr>
              <w:tblStyle w:val="Table3"/>
              <w:tblW w:w="313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5"/>
              <w:gridCol w:w="1470"/>
              <w:tblGridChange w:id="0">
                <w:tblGrid>
                  <w:gridCol w:w="1665"/>
                  <w:gridCol w:w="14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Auditorio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4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hora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4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$120.000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$89.000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$92.000</w:t>
                  </w:r>
                </w:p>
              </w:tc>
            </w:tr>
          </w:tbl>
          <w:p w:rsidR="00000000" w:rsidDel="00000000" w:rsidP="00000000" w:rsidRDefault="00000000" w:rsidRPr="00000000" w14:paraId="0000005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8">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hace referencia a los insumos que requerirán los beneficiarios del entrenamiento especializado, para efectos del proyecto, se realizo el coste de un kit que consta de Agenda con logo del proyecto de 80 páginas, esfero tinto negra marcado con el logo del proyecto, y una cartilla de con el material metodológico de 20 páginas a blanco y negro).</w:t>
            </w:r>
          </w:p>
          <w:p w:rsidR="00000000" w:rsidDel="00000000" w:rsidP="00000000" w:rsidRDefault="00000000" w:rsidRPr="00000000" w14:paraId="0000005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costean folletos de sensibilización en el marco de la Actividad 1.2. Identificar las barreras de acceso a mercados internacionales de las empresas de la cadena productiva de interés.</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toman como referencia los costos de cada Kit a través del análisis presentado a través de las siguientes empresas ubicadas en la Capital del país, sin embargo, se podrá considerar un proveedor de la región:</w:t>
            </w:r>
          </w:p>
          <w:p w:rsidR="00000000" w:rsidDel="00000000" w:rsidP="00000000" w:rsidRDefault="00000000" w:rsidRPr="00000000" w14:paraId="0000005C">
            <w:pPr>
              <w:jc w:val="both"/>
              <w:rPr>
                <w:rFonts w:ascii="Century Gothic" w:cs="Century Gothic" w:eastAsia="Century Gothic" w:hAnsi="Century Gothic"/>
                <w:sz w:val="20"/>
                <w:szCs w:val="20"/>
              </w:rPr>
            </w:pPr>
            <w:r w:rsidDel="00000000" w:rsidR="00000000" w:rsidRPr="00000000">
              <w:rPr>
                <w:rtl w:val="0"/>
              </w:rPr>
            </w:r>
          </w:p>
          <w:tbl>
            <w:tblPr>
              <w:tblStyle w:val="Table4"/>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5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5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6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$44.000</w:t>
                  </w:r>
                </w:p>
              </w:tc>
            </w:tr>
          </w:tbl>
          <w:p w:rsidR="00000000" w:rsidDel="00000000" w:rsidP="00000000" w:rsidRDefault="00000000" w:rsidRPr="00000000" w14:paraId="00000065">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Costeo Folletos de Socialización.</w:t>
            </w:r>
          </w:p>
          <w:p w:rsidR="00000000" w:rsidDel="00000000" w:rsidP="00000000" w:rsidRDefault="00000000" w:rsidRPr="00000000" w14:paraId="00000067">
            <w:pPr>
              <w:jc w:val="both"/>
              <w:rPr>
                <w:rFonts w:ascii="Century Gothic" w:cs="Century Gothic" w:eastAsia="Century Gothic" w:hAnsi="Century Gothic"/>
                <w:sz w:val="20"/>
                <w:szCs w:val="20"/>
              </w:rPr>
            </w:pPr>
            <w:r w:rsidDel="00000000" w:rsidR="00000000" w:rsidRPr="00000000">
              <w:rPr>
                <w:rtl w:val="0"/>
              </w:rPr>
            </w:r>
          </w:p>
          <w:tbl>
            <w:tblPr>
              <w:tblStyle w:val="Table5"/>
              <w:tblW w:w="31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7"/>
              <w:gridCol w:w="1598"/>
              <w:tblGridChange w:id="0">
                <w:tblGrid>
                  <w:gridCol w:w="1597"/>
                  <w:gridCol w:w="1598"/>
                </w:tblGrid>
              </w:tblGridChange>
            </w:tblGrid>
            <w:tr>
              <w:trPr>
                <w:cantSplit w:val="0"/>
                <w:tblHeader w:val="0"/>
              </w:trPr>
              <w:tc>
                <w:tcPr>
                  <w:shd w:fill="ffffff"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shd w:fill="ffffff" w:val="clear"/>
                  <w:vAlign w:val="cente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shd w:fill="ffffff" w:val="clear"/>
                  <w:vAlign w:val="cente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shd w:fill="ffffff" w:val="clear"/>
                  <w:vAlign w:val="cente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6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shd w:fill="ffffff" w:val="clear"/>
                  <w:vAlign w:val="cente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w:t>
                  </w:r>
                </w:p>
              </w:tc>
            </w:tr>
          </w:tbl>
          <w:p w:rsidR="00000000" w:rsidDel="00000000" w:rsidP="00000000" w:rsidRDefault="00000000" w:rsidRPr="00000000" w14:paraId="0000007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7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74">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tbl>
      <w:tblPr>
        <w:tblStyle w:val="Table6"/>
        <w:tblW w:w="882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540"/>
        <w:gridCol w:w="3865"/>
        <w:gridCol w:w="3423"/>
        <w:tblGridChange w:id="0">
          <w:tblGrid>
            <w:gridCol w:w="1540"/>
            <w:gridCol w:w="3865"/>
            <w:gridCol w:w="3423"/>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FIJOS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Talento humano.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al personal operativo que se requerirá en la ejecución de la actividad, desde el despliegue de la convocatoria, hasta el desarrollo de las sesiones de trabajo con los beneficiarios, se calcularon el coordinador técnico y operativo, y un asistente técnico por cada una de las subregiones del departamento durante los (2) meses de ejecución de este componente.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7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Los costos de honorarios se calcularon en función de la resolución 426 de 2014 426 de 2014 “por la cual se establecen los topes máximos a pagar al personal que desarrolle actividades, programas y proyectos financiados con recursos del Sistema General de Regalías, estos topes se actualizan de acuerdo al SMLV , se toma como referencia el costo proporcional por hora.</w:t>
            </w:r>
          </w:p>
          <w:p w:rsidR="00000000" w:rsidDel="00000000" w:rsidP="00000000" w:rsidRDefault="00000000" w:rsidRPr="00000000" w14:paraId="0000007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 este valor también puede ser presentado por un proveedor de servicios que demuestre tener personal idóneo y con experiencia en las temáticas propuestas.</w:t>
            </w:r>
          </w:p>
          <w:p w:rsidR="00000000" w:rsidDel="00000000" w:rsidP="00000000" w:rsidRDefault="00000000" w:rsidRPr="00000000" w14:paraId="00000081">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2">
            <w:pPr>
              <w:ind w:right="-112"/>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Material de identificación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Hace referencia a los insumos que requerirá el personal operativo del proyecto para ser identificado, se prevén camisetas y gorras con los logos del proyecto.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4">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Camisas polo. </w:t>
            </w:r>
          </w:p>
          <w:p w:rsidR="00000000" w:rsidDel="00000000" w:rsidP="00000000" w:rsidRDefault="00000000" w:rsidRPr="00000000" w14:paraId="00000085">
            <w:pPr>
              <w:jc w:val="both"/>
              <w:rPr>
                <w:rFonts w:ascii="Century Gothic" w:cs="Century Gothic" w:eastAsia="Century Gothic" w:hAnsi="Century Gothic"/>
                <w:sz w:val="20"/>
                <w:szCs w:val="20"/>
              </w:rPr>
            </w:pPr>
            <w:r w:rsidDel="00000000" w:rsidR="00000000" w:rsidRPr="00000000">
              <w:rPr>
                <w:rtl w:val="0"/>
              </w:rPr>
            </w:r>
          </w:p>
          <w:tbl>
            <w:tblPr>
              <w:tblStyle w:val="Table7"/>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8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8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$29.000</w:t>
                  </w:r>
                </w:p>
              </w:tc>
            </w:tr>
          </w:tbl>
          <w:p w:rsidR="00000000" w:rsidDel="00000000" w:rsidP="00000000" w:rsidRDefault="00000000" w:rsidRPr="00000000" w14:paraId="0000008E">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Gorras. </w:t>
            </w:r>
          </w:p>
          <w:p w:rsidR="00000000" w:rsidDel="00000000" w:rsidP="00000000" w:rsidRDefault="00000000" w:rsidRPr="00000000" w14:paraId="00000090">
            <w:pPr>
              <w:jc w:val="both"/>
              <w:rPr>
                <w:rFonts w:ascii="Century Gothic" w:cs="Century Gothic" w:eastAsia="Century Gothic" w:hAnsi="Century Gothic"/>
                <w:sz w:val="20"/>
                <w:szCs w:val="20"/>
              </w:rPr>
            </w:pPr>
            <w:r w:rsidDel="00000000" w:rsidR="00000000" w:rsidRPr="00000000">
              <w:rPr>
                <w:rtl w:val="0"/>
              </w:rPr>
            </w:r>
          </w:p>
          <w:tbl>
            <w:tblPr>
              <w:tblStyle w:val="Table8"/>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$20.900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$24.700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9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$22.900</w:t>
                  </w:r>
                </w:p>
              </w:tc>
            </w:tr>
          </w:tbl>
          <w:p w:rsidR="00000000" w:rsidDel="00000000" w:rsidP="00000000" w:rsidRDefault="00000000" w:rsidRPr="00000000" w14:paraId="0000009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A">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9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Refrigerios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9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Se estiman de acuerdo al Número de sesiones de formación que se realizarán con los participantes para esto se contempla, un refrigerio por persona por cada sesión. </w:t>
            </w:r>
          </w:p>
          <w:p w:rsidR="00000000" w:rsidDel="00000000" w:rsidP="00000000" w:rsidRDefault="00000000" w:rsidRPr="00000000" w14:paraId="0000009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pueden ser contratados por alguna empresa de la región que se encargue de refrigerios tipo empresarial, sin embargo, se sugieren alimentos en conserva para evitar inconvenientes de sanidad e intoxicación (se costea el refrigerio con sándwich sellados al vacío, jugo en caja marca Hit, chocolatina y 1 unidad de fruta)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1">
            <w:pPr>
              <w:jc w:val="both"/>
              <w:rPr>
                <w:rFonts w:ascii="Century Gothic" w:cs="Century Gothic" w:eastAsia="Century Gothic" w:hAnsi="Century Gothic"/>
                <w:sz w:val="20"/>
                <w:szCs w:val="20"/>
              </w:rPr>
            </w:pPr>
            <w:r w:rsidDel="00000000" w:rsidR="00000000" w:rsidRPr="00000000">
              <w:rPr>
                <w:rtl w:val="0"/>
              </w:rPr>
            </w:r>
          </w:p>
          <w:tbl>
            <w:tblPr>
              <w:tblStyle w:val="Table9"/>
              <w:tblW w:w="313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045"/>
              <w:tblGridChange w:id="0">
                <w:tblGrid>
                  <w:gridCol w:w="2085"/>
                  <w:gridCol w:w="10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$10.500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A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A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$10.000</w:t>
                  </w:r>
                </w:p>
              </w:tc>
            </w:tr>
          </w:tbl>
          <w:p w:rsidR="00000000" w:rsidDel="00000000" w:rsidP="00000000" w:rsidRDefault="00000000" w:rsidRPr="00000000" w14:paraId="000000A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w:t>
            </w:r>
          </w:p>
          <w:p w:rsidR="00000000" w:rsidDel="00000000" w:rsidP="00000000" w:rsidRDefault="00000000" w:rsidRPr="00000000" w14:paraId="000000A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D">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2"/>
          <w:szCs w:val="22"/>
        </w:rPr>
      </w:pPr>
      <w:r w:rsidDel="00000000" w:rsidR="00000000" w:rsidRPr="00000000">
        <w:rPr>
          <w:rtl w:val="0"/>
        </w:rPr>
      </w:r>
    </w:p>
    <w:tbl>
      <w:tblPr>
        <w:tblStyle w:val="Table10"/>
        <w:tblW w:w="8824.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660"/>
        <w:gridCol w:w="3740"/>
        <w:gridCol w:w="3424"/>
        <w:tblGridChange w:id="0">
          <w:tblGrid>
            <w:gridCol w:w="1660"/>
            <w:gridCol w:w="3740"/>
            <w:gridCol w:w="3424"/>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TRANSPORTE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Rubro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Descripción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Estudio de Mercado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aéreo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7">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vuelos que requiere el personal especializado para el desarrollo del taller en las temáticas propuestas en cada una de las metodologías, estos trayectos se realizan desde la ciudad de Bogotá hasta la capital del Departamento, y se calcula por trayecto el cual consta de Ida y regreso.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8">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9">
            <w:pPr>
              <w:jc w:val="both"/>
              <w:rPr>
                <w:rFonts w:ascii="Century Gothic" w:cs="Century Gothic" w:eastAsia="Century Gothic" w:hAnsi="Century Gothic"/>
                <w:sz w:val="20"/>
                <w:szCs w:val="20"/>
              </w:rPr>
            </w:pPr>
            <w:r w:rsidDel="00000000" w:rsidR="00000000" w:rsidRPr="00000000">
              <w:rPr>
                <w:rtl w:val="0"/>
              </w:rPr>
            </w:r>
          </w:p>
          <w:tbl>
            <w:tblPr>
              <w:tblStyle w:val="Table11"/>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10"/>
              <w:gridCol w:w="1288"/>
              <w:tblGridChange w:id="0">
                <w:tblGrid>
                  <w:gridCol w:w="1910"/>
                  <w:gridCol w:w="1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A">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$940.000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B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B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$854.000</w:t>
                  </w:r>
                </w:p>
              </w:tc>
            </w:tr>
          </w:tbl>
          <w:p w:rsidR="00000000" w:rsidDel="00000000" w:rsidP="00000000" w:rsidRDefault="00000000" w:rsidRPr="00000000" w14:paraId="000000C0">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Nota aclaratoria*</w:t>
            </w:r>
            <w:r w:rsidDel="00000000" w:rsidR="00000000" w:rsidRPr="00000000">
              <w:rPr>
                <w:rFonts w:ascii="Century Gothic" w:cs="Century Gothic" w:eastAsia="Century Gothic" w:hAnsi="Century Gothic"/>
                <w:sz w:val="20"/>
                <w:szCs w:val="20"/>
                <w:rtl w:val="0"/>
              </w:rPr>
              <w:t xml:space="preserve">Se seleccionan los costes en temporada alta toda vez que estos vuelos pueden variar según las fechas de ejecución y se selecciona el más costoso por incertidumbre en la variación de los mismos.</w:t>
            </w:r>
          </w:p>
          <w:p w:rsidR="00000000" w:rsidDel="00000000" w:rsidP="00000000" w:rsidRDefault="00000000" w:rsidRPr="00000000" w14:paraId="000000C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C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p w:rsidR="00000000" w:rsidDel="00000000" w:rsidP="00000000" w:rsidRDefault="00000000" w:rsidRPr="00000000" w14:paraId="000000C4">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transporte terrestre.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6">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Relaciona los costes frente a los trayectos terrestres de Popayán a 4 municipios del Departamento del Cauca, los cuales concentran un mayor número de población. Estos costos son calculados con el promedio de los costes por subregión.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7">
            <w:pPr>
              <w:jc w:val="both"/>
              <w:rPr>
                <w:rFonts w:ascii="Century Gothic" w:cs="Century Gothic" w:eastAsia="Century Gothic" w:hAnsi="Century Gothic"/>
                <w:sz w:val="20"/>
                <w:szCs w:val="20"/>
              </w:rPr>
            </w:pPr>
            <w:r w:rsidDel="00000000" w:rsidR="00000000" w:rsidRPr="00000000">
              <w:rPr>
                <w:rtl w:val="0"/>
              </w:rPr>
            </w:r>
          </w:p>
          <w:tbl>
            <w:tblPr>
              <w:tblStyle w:val="Table12"/>
              <w:tblW w:w="3180.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55"/>
              <w:gridCol w:w="1125"/>
              <w:tblGridChange w:id="0">
                <w:tblGrid>
                  <w:gridCol w:w="2055"/>
                  <w:gridCol w:w="1125"/>
                </w:tblGrid>
              </w:tblGridChange>
            </w:tblGrid>
            <w:tr>
              <w:trPr>
                <w:cantSplit w:val="0"/>
                <w:trHeight w:val="8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9">
                  <w:pPr>
                    <w:ind w:right="-107"/>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A">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C">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C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C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4</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$80.000</w:t>
                  </w:r>
                </w:p>
              </w:tc>
            </w:tr>
          </w:tbl>
          <w:p w:rsidR="00000000" w:rsidDel="00000000" w:rsidP="00000000" w:rsidRDefault="00000000" w:rsidRPr="00000000" w14:paraId="000000D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D3">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Principales empresas que desde el terminal de popayán se movilizan a los municipios que conforman el departamento del Cauca. </w:t>
            </w:r>
          </w:p>
          <w:p w:rsidR="00000000" w:rsidDel="00000000" w:rsidP="00000000" w:rsidRDefault="00000000" w:rsidRPr="00000000" w14:paraId="000000D4">
            <w:pPr>
              <w:jc w:val="both"/>
              <w:rPr>
                <w:rFonts w:ascii="Century Gothic" w:cs="Century Gothic" w:eastAsia="Century Gothic" w:hAnsi="Century Gothic"/>
                <w:sz w:val="20"/>
                <w:szCs w:val="20"/>
              </w:rPr>
            </w:pPr>
            <w:r w:rsidDel="00000000" w:rsidR="00000000" w:rsidRPr="00000000">
              <w:rPr>
                <w:rtl w:val="0"/>
              </w:rPr>
            </w:r>
          </w:p>
          <w:tbl>
            <w:tblPr>
              <w:tblStyle w:val="Table13"/>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409"/>
              <w:gridCol w:w="1789"/>
              <w:tblGridChange w:id="0">
                <w:tblGrid>
                  <w:gridCol w:w="1409"/>
                  <w:gridCol w:w="178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D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Santander de Quilichao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Tax Belalcazar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Flota Magdalena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tambo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Transtambo</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Fronteras</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2">
                  <w:pPr>
                    <w:jc w:val="center"/>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Paez</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Sotracauca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Coomotor</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 Rosa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Rápido tambo</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Sotracauca</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0EF">
            <w:pPr>
              <w:jc w:val="both"/>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Costos de estadía y alimentación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1">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Estos costes corresponden a la estadía en un Hotel de categoría empresarial en la ciudad capital del Departamento, y se contemplan los cortes de almuerzo y cena, por cada día que requiera pernoctar el personal especializado para el desarrollo del taller en las temáticas propuestas en cada una de las metodologías. </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2">
            <w:pPr>
              <w:jc w:val="both"/>
              <w:rPr>
                <w:rFonts w:ascii="Century Gothic" w:cs="Century Gothic" w:eastAsia="Century Gothic" w:hAnsi="Century Gothic"/>
                <w:sz w:val="20"/>
                <w:szCs w:val="20"/>
              </w:rPr>
            </w:pPr>
            <w:r w:rsidDel="00000000" w:rsidR="00000000" w:rsidRPr="00000000">
              <w:rPr>
                <w:rtl w:val="0"/>
              </w:rPr>
            </w:r>
          </w:p>
          <w:tbl>
            <w:tblPr>
              <w:tblStyle w:val="Table14"/>
              <w:tblW w:w="3135.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1920"/>
              <w:gridCol w:w="1215"/>
              <w:tblGridChange w:id="0">
                <w:tblGrid>
                  <w:gridCol w:w="1920"/>
                  <w:gridCol w:w="12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7">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9">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$110.000</w:t>
                  </w:r>
                </w:p>
              </w:tc>
            </w:tr>
          </w:tbl>
          <w:p w:rsidR="00000000" w:rsidDel="00000000" w:rsidP="00000000" w:rsidRDefault="00000000" w:rsidRPr="00000000" w14:paraId="000000FB">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F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0FD">
            <w:pPr>
              <w:jc w:val="both"/>
              <w:rPr>
                <w:rFonts w:ascii="Century Gothic" w:cs="Century Gothic" w:eastAsia="Century Gothic" w:hAnsi="Century Gothic"/>
                <w:sz w:val="20"/>
                <w:szCs w:val="20"/>
              </w:rPr>
            </w:pPr>
            <w:r w:rsidDel="00000000" w:rsidR="00000000" w:rsidRPr="00000000">
              <w:rPr>
                <w:rtl w:val="0"/>
              </w:rPr>
            </w:r>
          </w:p>
          <w:tbl>
            <w:tblPr>
              <w:tblStyle w:val="Table15"/>
              <w:tblW w:w="3198.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53"/>
              <w:gridCol w:w="1145"/>
              <w:tblGridChange w:id="0">
                <w:tblGrid>
                  <w:gridCol w:w="2053"/>
                  <w:gridCol w:w="114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F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F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0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$25.0000</w:t>
                  </w:r>
                </w:p>
              </w:tc>
            </w:tr>
          </w:tbl>
          <w:p w:rsidR="00000000" w:rsidDel="00000000" w:rsidP="00000000" w:rsidRDefault="00000000" w:rsidRPr="00000000" w14:paraId="0000010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0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Recordatorio</w:t>
            </w:r>
            <w:r w:rsidDel="00000000" w:rsidR="00000000" w:rsidRPr="00000000">
              <w:rPr>
                <w:rFonts w:ascii="Century Gothic" w:cs="Century Gothic" w:eastAsia="Century Gothic" w:hAnsi="Century Gothic"/>
                <w:sz w:val="20"/>
                <w:szCs w:val="20"/>
                <w:rtl w:val="0"/>
              </w:rPr>
              <w:t xml:space="preserve">: No olvide que se deberá soportar a través de mínimo (3) cotizaciones los valores del mercado y el criterio de selección. </w:t>
            </w:r>
          </w:p>
        </w:tc>
      </w:tr>
    </w:tbl>
    <w:p w:rsidR="00000000" w:rsidDel="00000000" w:rsidP="00000000" w:rsidRDefault="00000000" w:rsidRPr="00000000" w14:paraId="00000106">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Materiales, insumos y documentación</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Hace referencia a la adquisición de insumos, bienes fungibles y demás elementos necesarios para el desarrollo de algunas actividades previstas. Deben presentarse a manera de listado agrupado por categorías sobre las cuales debe hacerse una justificación de su necesidad y cantidad.</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términos presupuestales del proyecto se requería la impresión de diferentes paquetes y/o formatos de acompañamiento y seguimiento de para los proyectos. </w:t>
      </w:r>
    </w:p>
    <w:p w:rsidR="00000000" w:rsidDel="00000000" w:rsidP="00000000" w:rsidRDefault="00000000" w:rsidRPr="00000000" w14:paraId="0000010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 según el valor de impresiones por hoja para determinar los costos de cada paquete de trabajo.</w:t>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16"/>
        <w:tblW w:w="5500.0" w:type="dxa"/>
        <w:jc w:val="left"/>
        <w:tblInd w:w="2122.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771"/>
        <w:gridCol w:w="2729"/>
        <w:tblGridChange w:id="0">
          <w:tblGrid>
            <w:gridCol w:w="2771"/>
            <w:gridCol w:w="27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0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PAPELERÍAS/ IMPRENTA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VALOR UNITARIO HOJA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1">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2">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3">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4">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$350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5">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$350</w:t>
            </w:r>
          </w:p>
        </w:tc>
      </w:tr>
    </w:tbl>
    <w:p w:rsidR="00000000" w:rsidDel="00000000" w:rsidP="00000000" w:rsidRDefault="00000000" w:rsidRPr="00000000" w14:paraId="0000011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8">
      <w:pP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A">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Protección y divulgación</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relacionados con el proceso de planeación, y ejecución de los despliegues de las diferentes convocatorias, así como de los eventos que socialicen y divulguen los resultados del proyecto de Inversión. </w:t>
      </w:r>
    </w:p>
    <w:p w:rsidR="00000000" w:rsidDel="00000000" w:rsidP="00000000" w:rsidRDefault="00000000" w:rsidRPr="00000000" w14:paraId="0000011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realiza el ejercicio con base a un despliegue de convocatoria, conformado por Telemarketing a bases de datos proporcionados por las Cámaras de Comercio del departamento, Correos masivos de invitación y notificación, así como envíos de mensajes de texto. </w:t>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0">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llamadas telefónicas (Telemarketing valor minuto)</w:t>
      </w:r>
    </w:p>
    <w:p w:rsidR="00000000" w:rsidDel="00000000" w:rsidP="00000000" w:rsidRDefault="00000000" w:rsidRPr="00000000" w14:paraId="00000121">
      <w:pPr>
        <w:jc w:val="both"/>
        <w:rPr>
          <w:rFonts w:ascii="Century Gothic" w:cs="Century Gothic" w:eastAsia="Century Gothic" w:hAnsi="Century Gothic"/>
          <w:sz w:val="20"/>
          <w:szCs w:val="20"/>
        </w:rPr>
      </w:pPr>
      <w:r w:rsidDel="00000000" w:rsidR="00000000" w:rsidRPr="00000000">
        <w:rPr>
          <w:rtl w:val="0"/>
        </w:rPr>
      </w:r>
    </w:p>
    <w:tbl>
      <w:tblPr>
        <w:tblStyle w:val="Table17"/>
        <w:tblW w:w="4083.0" w:type="dxa"/>
        <w:jc w:val="left"/>
        <w:tblInd w:w="874.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998"/>
        <w:tblGridChange w:id="0">
          <w:tblGrid>
            <w:gridCol w:w="2085"/>
            <w:gridCol w:w="199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2">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3">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$2.200</w:t>
            </w:r>
          </w:p>
        </w:tc>
      </w:tr>
    </w:tbl>
    <w:p w:rsidR="00000000" w:rsidDel="00000000" w:rsidP="00000000" w:rsidRDefault="00000000" w:rsidRPr="00000000" w14:paraId="00000128">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129">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Correos electrónicos masivos.</w:t>
      </w:r>
    </w:p>
    <w:p w:rsidR="00000000" w:rsidDel="00000000" w:rsidP="00000000" w:rsidRDefault="00000000" w:rsidRPr="00000000" w14:paraId="0000012A">
      <w:pPr>
        <w:jc w:val="both"/>
        <w:rPr>
          <w:rFonts w:ascii="Century Gothic" w:cs="Century Gothic" w:eastAsia="Century Gothic" w:hAnsi="Century Gothic"/>
          <w:sz w:val="20"/>
          <w:szCs w:val="20"/>
        </w:rPr>
      </w:pPr>
      <w:r w:rsidDel="00000000" w:rsidR="00000000" w:rsidRPr="00000000">
        <w:rPr>
          <w:rtl w:val="0"/>
        </w:rPr>
      </w:r>
    </w:p>
    <w:tbl>
      <w:tblPr>
        <w:tblStyle w:val="Table18"/>
        <w:tblW w:w="4501.0" w:type="dxa"/>
        <w:jc w:val="left"/>
        <w:tblInd w:w="73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2416"/>
        <w:tblGridChange w:id="0">
          <w:tblGrid>
            <w:gridCol w:w="2085"/>
            <w:gridCol w:w="24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D">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2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2F">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$55</w:t>
            </w:r>
          </w:p>
        </w:tc>
      </w:tr>
    </w:tbl>
    <w:p w:rsidR="00000000" w:rsidDel="00000000" w:rsidP="00000000" w:rsidRDefault="00000000" w:rsidRPr="00000000" w14:paraId="00000131">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2">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Mensajes masivos de Whatsapp-500 caracteres (Valor por MSN)</w:t>
      </w:r>
    </w:p>
    <w:p w:rsidR="00000000" w:rsidDel="00000000" w:rsidP="00000000" w:rsidRDefault="00000000" w:rsidRPr="00000000" w14:paraId="00000133">
      <w:pPr>
        <w:jc w:val="both"/>
        <w:rPr>
          <w:rFonts w:ascii="Century Gothic" w:cs="Century Gothic" w:eastAsia="Century Gothic" w:hAnsi="Century Gothic"/>
          <w:sz w:val="20"/>
          <w:szCs w:val="20"/>
        </w:rPr>
      </w:pPr>
      <w:r w:rsidDel="00000000" w:rsidR="00000000" w:rsidRPr="00000000">
        <w:rPr>
          <w:rtl w:val="0"/>
        </w:rPr>
      </w:r>
    </w:p>
    <w:tbl>
      <w:tblPr>
        <w:tblStyle w:val="Table19"/>
        <w:tblW w:w="3964.0" w:type="dxa"/>
        <w:jc w:val="left"/>
        <w:tblInd w:w="70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085"/>
        <w:gridCol w:w="1879"/>
        <w:tblGridChange w:id="0">
          <w:tblGrid>
            <w:gridCol w:w="2085"/>
            <w:gridCol w:w="18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4">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8">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$60</w:t>
            </w:r>
          </w:p>
        </w:tc>
      </w:tr>
    </w:tbl>
    <w:p w:rsidR="00000000" w:rsidDel="00000000" w:rsidP="00000000" w:rsidRDefault="00000000" w:rsidRPr="00000000" w14:paraId="0000013A">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Alquiler de espacios con disponibilidad de mobiliario y equipo audiovisual para más de 100 personas para cada una de las ruedas planteadas en la Metodologías.  </w:t>
      </w:r>
    </w:p>
    <w:p w:rsidR="00000000" w:rsidDel="00000000" w:rsidP="00000000" w:rsidRDefault="00000000" w:rsidRPr="00000000" w14:paraId="0000013D">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0"/>
        <w:tblW w:w="7665.0" w:type="dxa"/>
        <w:jc w:val="left"/>
        <w:tblInd w:w="61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330"/>
        <w:gridCol w:w="1335"/>
        <w:tblGridChange w:id="0">
          <w:tblGrid>
            <w:gridCol w:w="6330"/>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3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Infraestructura Física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3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día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0">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Auditorios Bogotá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$217.000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2">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Auditorios Medellín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$237.500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4">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Auditorios Cali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$301.875</w:t>
            </w:r>
          </w:p>
        </w:tc>
      </w:tr>
    </w:tbl>
    <w:p w:rsidR="00000000" w:rsidDel="00000000" w:rsidP="00000000" w:rsidRDefault="00000000" w:rsidRPr="00000000" w14:paraId="0000014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47">
      <w:pPr>
        <w:ind w:left="720" w:firstLine="0"/>
        <w:jc w:val="both"/>
        <w:rPr>
          <w:rFonts w:ascii="Century Gothic" w:cs="Century Gothic" w:eastAsia="Century Gothic" w:hAnsi="Century Gothic"/>
          <w:b w:val="1"/>
          <w:sz w:val="22"/>
          <w:szCs w:val="22"/>
        </w:rPr>
      </w:pPr>
      <w:r w:rsidDel="00000000" w:rsidR="00000000" w:rsidRPr="00000000">
        <w:rPr>
          <w:rtl w:val="0"/>
        </w:rPr>
      </w:r>
    </w:p>
    <w:tbl>
      <w:tblPr>
        <w:tblStyle w:val="Table21"/>
        <w:tblW w:w="7635.0" w:type="dxa"/>
        <w:jc w:val="left"/>
        <w:tblInd w:w="64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6300"/>
        <w:gridCol w:w="1335"/>
        <w:tblGridChange w:id="0">
          <w:tblGrid>
            <w:gridCol w:w="6300"/>
            <w:gridCol w:w="13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4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Promoción Radial por X segundos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9">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 Pauta.</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A">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Bogotá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$96.000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C">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Medellín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D">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$68.000</w:t>
            </w:r>
          </w:p>
        </w:tc>
      </w:tr>
      <w:tr>
        <w:trPr>
          <w:cantSplit w:val="0"/>
          <w:trHeight w:val="316"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E">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Emisoras Cali ( proveedor 1-  Proveedor 2- 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4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$76.000</w:t>
            </w:r>
          </w:p>
        </w:tc>
      </w:tr>
    </w:tbl>
    <w:p w:rsidR="00000000" w:rsidDel="00000000" w:rsidP="00000000" w:rsidRDefault="00000000" w:rsidRPr="00000000" w14:paraId="00000150">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1">
      <w:pPr>
        <w:ind w:left="720" w:firstLine="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p w:rsidR="00000000" w:rsidDel="00000000" w:rsidP="00000000" w:rsidRDefault="00000000" w:rsidRPr="00000000" w14:paraId="00000152">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3">
      <w:pPr>
        <w:ind w:left="720" w:firstLine="0"/>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4">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de viaje</w:t>
      </w: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transporte (pasajes nacionales) y viáticos relacionados con las actividades propuestas en los diferentes componentes investigativos, de formación y técnicos del proyecto (capacitaciones, estancias cortas, presentación de ponencias en eventos especializados, etc.) y que son estrictamente necesarios para la ejecución exitosa del proyecto y la generación de productos y resultados. </w:t>
      </w:r>
    </w:p>
    <w:p w:rsidR="00000000" w:rsidDel="00000000" w:rsidP="00000000" w:rsidRDefault="00000000" w:rsidRPr="00000000" w14:paraId="00000157">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Para efectos presupuestales se costean los costos de tiquetes aéreos desde Bogotá a la Capital del Departamento, así como las movilidades al interior de los diferentes municipios desde la ciudad de Popayán. </w:t>
      </w:r>
    </w:p>
    <w:p w:rsidR="00000000" w:rsidDel="00000000" w:rsidP="00000000" w:rsidRDefault="00000000" w:rsidRPr="00000000" w14:paraId="00000159">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5A">
      <w:pPr>
        <w:numPr>
          <w:ilvl w:val="0"/>
          <w:numId w:val="1"/>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Transportes Aéreos.</w:t>
      </w:r>
    </w:p>
    <w:p w:rsidR="00000000" w:rsidDel="00000000" w:rsidP="00000000" w:rsidRDefault="00000000" w:rsidRPr="00000000" w14:paraId="0000015B">
      <w:pPr>
        <w:ind w:left="720" w:firstLine="0"/>
        <w:jc w:val="both"/>
        <w:rPr>
          <w:rFonts w:ascii="Century Gothic" w:cs="Century Gothic" w:eastAsia="Century Gothic" w:hAnsi="Century Gothic"/>
          <w:sz w:val="20"/>
          <w:szCs w:val="20"/>
        </w:rPr>
      </w:pPr>
      <w:r w:rsidDel="00000000" w:rsidR="00000000" w:rsidRPr="00000000">
        <w:rPr>
          <w:rtl w:val="0"/>
        </w:rPr>
      </w:r>
    </w:p>
    <w:tbl>
      <w:tblPr>
        <w:tblStyle w:val="Table22"/>
        <w:tblW w:w="6150.0" w:type="dxa"/>
        <w:jc w:val="left"/>
        <w:tblInd w:w="73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20"/>
        <w:gridCol w:w="3630"/>
        <w:tblGridChange w:id="0">
          <w:tblGrid>
            <w:gridCol w:w="2520"/>
            <w:gridCol w:w="363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TRAYECTO*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5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5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$940.000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$854.000</w:t>
            </w:r>
          </w:p>
        </w:tc>
      </w:tr>
    </w:tbl>
    <w:p w:rsidR="00000000" w:rsidDel="00000000" w:rsidP="00000000" w:rsidRDefault="00000000" w:rsidRPr="00000000" w14:paraId="00000162">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63">
      <w:pPr>
        <w:numPr>
          <w:ilvl w:val="0"/>
          <w:numId w:val="1"/>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Transportes terrestres.</w:t>
      </w:r>
    </w:p>
    <w:p w:rsidR="00000000" w:rsidDel="00000000" w:rsidP="00000000" w:rsidRDefault="00000000" w:rsidRPr="00000000" w14:paraId="00000164">
      <w:pPr>
        <w:ind w:left="720" w:firstLine="0"/>
        <w:jc w:val="both"/>
        <w:rPr>
          <w:rFonts w:ascii="Century Gothic" w:cs="Century Gothic" w:eastAsia="Century Gothic" w:hAnsi="Century Gothic"/>
          <w:sz w:val="20"/>
          <w:szCs w:val="20"/>
        </w:rPr>
      </w:pPr>
      <w:r w:rsidDel="00000000" w:rsidR="00000000" w:rsidRPr="00000000">
        <w:rPr>
          <w:rtl w:val="0"/>
        </w:rPr>
      </w:r>
    </w:p>
    <w:tbl>
      <w:tblPr>
        <w:tblStyle w:val="Table23"/>
        <w:tblW w:w="6345.0" w:type="dxa"/>
        <w:jc w:val="left"/>
        <w:tblInd w:w="75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05"/>
        <w:gridCol w:w="3840"/>
        <w:tblGridChange w:id="0">
          <w:tblGrid>
            <w:gridCol w:w="2505"/>
            <w:gridCol w:w="3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65">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Subregiones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6">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7">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Santander de Quilichao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$40.000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9">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El tambo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B">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Paez</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D">
            <w:pP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 Rosa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6E">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$80.000</w:t>
            </w:r>
          </w:p>
        </w:tc>
      </w:tr>
    </w:tbl>
    <w:p w:rsidR="00000000" w:rsidDel="00000000" w:rsidP="00000000" w:rsidRDefault="00000000" w:rsidRPr="00000000" w14:paraId="0000016F">
      <w:pPr>
        <w:jc w:val="both"/>
        <w:rPr>
          <w:rFonts w:ascii="Century Gothic" w:cs="Century Gothic" w:eastAsia="Century Gothic" w:hAnsi="Century Gothic"/>
          <w:sz w:val="20"/>
          <w:szCs w:val="20"/>
        </w:rPr>
      </w:pPr>
      <w:r w:rsidDel="00000000" w:rsidR="00000000" w:rsidRPr="00000000">
        <w:rPr>
          <w:rtl w:val="0"/>
        </w:rPr>
      </w:r>
    </w:p>
    <w:tbl>
      <w:tblPr>
        <w:tblStyle w:val="Table24"/>
        <w:tblW w:w="6375.0" w:type="dxa"/>
        <w:jc w:val="left"/>
        <w:tblInd w:w="75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05"/>
        <w:gridCol w:w="3870"/>
        <w:tblGridChange w:id="0">
          <w:tblGrid>
            <w:gridCol w:w="2505"/>
            <w:gridCol w:w="38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70">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Municipios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1">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Empresas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2">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Santander de Quilichao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Tax Belalcazar</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Flota Magdalena</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6">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El tambo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Transtambo</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Fronteras</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D">
            <w:pPr>
              <w:jc w:val="center"/>
              <w:rPr>
                <w:rFonts w:ascii="Century Gothic" w:cs="Century Gothic" w:eastAsia="Century Gothic" w:hAnsi="Century Gothic"/>
                <w:sz w:val="20"/>
                <w:szCs w:val="20"/>
              </w:rPr>
            </w:pPr>
            <w:r w:rsidDel="00000000" w:rsidR="00000000" w:rsidRPr="00000000">
              <w:rPr>
                <w:rtl w:val="0"/>
              </w:rPr>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Paez</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Sotracauca</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Coomotor</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4">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Santa Rosa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5">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Rápido tambo</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7">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Sotracauca</w:t>
            </w:r>
          </w:p>
        </w:tc>
      </w:tr>
      <w:tr>
        <w:trPr>
          <w:cantSplit w:val="0"/>
          <w:trHeight w:val="28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18A">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8B">
      <w:pPr>
        <w:jc w:val="both"/>
        <w:rPr>
          <w:rFonts w:ascii="Century Gothic" w:cs="Century Gothic" w:eastAsia="Century Gothic" w:hAnsi="Century Gothic"/>
          <w:sz w:val="20"/>
          <w:szCs w:val="20"/>
        </w:rPr>
      </w:pPr>
      <w:r w:rsidDel="00000000" w:rsidR="00000000" w:rsidRPr="00000000">
        <w:rPr>
          <w:rtl w:val="0"/>
        </w:rPr>
      </w:r>
    </w:p>
    <w:tbl>
      <w:tblPr>
        <w:tblStyle w:val="Table25"/>
        <w:tblW w:w="6405.0" w:type="dxa"/>
        <w:jc w:val="left"/>
        <w:tblInd w:w="75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565"/>
        <w:gridCol w:w="3840"/>
        <w:tblGridChange w:id="0">
          <w:tblGrid>
            <w:gridCol w:w="2565"/>
            <w:gridCol w:w="38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Hoteles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Unitario</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8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8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0">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$90.000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$110.000</w:t>
            </w:r>
          </w:p>
        </w:tc>
      </w:tr>
    </w:tbl>
    <w:p w:rsidR="00000000" w:rsidDel="00000000" w:rsidP="00000000" w:rsidRDefault="00000000" w:rsidRPr="00000000" w14:paraId="00000194">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95">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para el ejercicio presupuestal, se referencia el costo promedio. </w:t>
      </w:r>
    </w:p>
    <w:p w:rsidR="00000000" w:rsidDel="00000000" w:rsidP="00000000" w:rsidRDefault="00000000" w:rsidRPr="00000000" w14:paraId="00000196">
      <w:pPr>
        <w:jc w:val="both"/>
        <w:rPr>
          <w:rFonts w:ascii="Century Gothic" w:cs="Century Gothic" w:eastAsia="Century Gothic" w:hAnsi="Century Gothic"/>
          <w:sz w:val="20"/>
          <w:szCs w:val="20"/>
        </w:rPr>
      </w:pPr>
      <w:r w:rsidDel="00000000" w:rsidR="00000000" w:rsidRPr="00000000">
        <w:rPr>
          <w:rtl w:val="0"/>
        </w:rPr>
      </w:r>
    </w:p>
    <w:tbl>
      <w:tblPr>
        <w:tblStyle w:val="Table26"/>
        <w:tblW w:w="6465.0" w:type="dxa"/>
        <w:jc w:val="left"/>
        <w:tblInd w:w="73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55"/>
        <w:gridCol w:w="3810"/>
        <w:tblGridChange w:id="0">
          <w:tblGrid>
            <w:gridCol w:w="2655"/>
            <w:gridCol w:w="38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7">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Ítem</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8">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Costo Promedio región</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Almuerzo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A">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$30.000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B">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Cena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9C">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$25.0000</w:t>
            </w:r>
          </w:p>
        </w:tc>
      </w:tr>
    </w:tbl>
    <w:p w:rsidR="00000000" w:rsidDel="00000000" w:rsidP="00000000" w:rsidRDefault="00000000" w:rsidRPr="00000000" w14:paraId="0000019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9E">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Nota aclaratoria* </w:t>
      </w:r>
      <w:r w:rsidDel="00000000" w:rsidR="00000000" w:rsidRPr="00000000">
        <w:rPr>
          <w:rFonts w:ascii="Century Gothic" w:cs="Century Gothic" w:eastAsia="Century Gothic" w:hAnsi="Century Gothic"/>
          <w:sz w:val="22"/>
          <w:szCs w:val="22"/>
          <w:rtl w:val="0"/>
        </w:rPr>
        <w:t xml:space="preserve">Se seleccionan los costes en temporada alta toda vez que estos vuelos y pasajes terrestres pueden variar según las fechas de ejecución y se selecciona el más costoso por incertidumbre en la variación de los mismo</w:t>
      </w:r>
    </w:p>
    <w:p w:rsidR="00000000" w:rsidDel="00000000" w:rsidP="00000000" w:rsidRDefault="00000000" w:rsidRPr="00000000" w14:paraId="0000019F">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A0">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1A1">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1A2">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Administrativos.</w:t>
      </w:r>
      <w:r w:rsidDel="00000000" w:rsidR="00000000" w:rsidRPr="00000000">
        <w:rPr>
          <w:rtl w:val="0"/>
        </w:rPr>
      </w:r>
    </w:p>
    <w:p w:rsidR="00000000" w:rsidDel="00000000" w:rsidP="00000000" w:rsidRDefault="00000000" w:rsidRPr="00000000" w14:paraId="000001A3">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Se refiere a los gastos de insumos requeridos para la administración del proyecto (Insumos de papelería) y equipos de cómputo para el personal que participará en el total de la ejecución del proyecto. Así mismo se contemplan los costos de servicios de Internet y de arrendamiento de los espacios y Oficina del Proyecto el cual estará disponible para brindar información al público y a los diferentes entes de control. </w:t>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720" w:firstLine="0"/>
        <w:jc w:val="both"/>
        <w:rPr>
          <w:rFonts w:ascii="Century Gothic" w:cs="Century Gothic" w:eastAsia="Century Gothic" w:hAnsi="Century Gothic"/>
          <w:sz w:val="22"/>
          <w:szCs w:val="22"/>
        </w:rPr>
      </w:pPr>
      <w:r w:rsidDel="00000000" w:rsidR="00000000" w:rsidRPr="00000000">
        <w:rPr>
          <w:rtl w:val="0"/>
        </w:rPr>
      </w:r>
    </w:p>
    <w:tbl>
      <w:tblPr>
        <w:tblStyle w:val="Table27"/>
        <w:tblW w:w="8805.0" w:type="dxa"/>
        <w:jc w:val="left"/>
        <w:tblInd w:w="-5.0" w:type="dxa"/>
        <w:tblLayout w:type="fixed"/>
        <w:tblLook w:val="0400"/>
      </w:tblPr>
      <w:tblGrid>
        <w:gridCol w:w="4020"/>
        <w:gridCol w:w="1215"/>
        <w:gridCol w:w="1185"/>
        <w:gridCol w:w="1230"/>
        <w:gridCol w:w="1155"/>
        <w:tblGridChange w:id="0">
          <w:tblGrid>
            <w:gridCol w:w="4020"/>
            <w:gridCol w:w="1215"/>
            <w:gridCol w:w="1185"/>
            <w:gridCol w:w="1230"/>
            <w:gridCol w:w="1155"/>
          </w:tblGrid>
        </w:tblGridChange>
      </w:tblGrid>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INSUMO</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A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539"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B">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Resma de papel tamaño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A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22.700</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0">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Legajador A-Z carta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13.700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13.900</w:t>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Marcadores  (marca sobre todo) x 12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14.800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14.500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16.300</w:t>
            </w:r>
          </w:p>
        </w:tc>
      </w:tr>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Cosedora con mango antideslizante para grapar 240 hojas + ganchos 23/23 Nhitan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98.900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94.900</w:t>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B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Tablero Mixto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74.800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107.000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82.000</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Carpeta palanca carta azul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13.200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w:t>
            </w:r>
          </w:p>
        </w:tc>
      </w:tr>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9">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Bolígrafo X12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15.700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11.000</w:t>
            </w:r>
          </w:p>
        </w:tc>
      </w:tr>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C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Lápiz mirado N2</w:t>
            </w:r>
          </w:p>
          <w:p w:rsidR="00000000" w:rsidDel="00000000" w:rsidP="00000000" w:rsidRDefault="00000000" w:rsidRPr="00000000" w14:paraId="000001C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12.600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9.000</w:t>
            </w:r>
          </w:p>
        </w:tc>
      </w:tr>
      <w:tr>
        <w:trPr>
          <w:cantSplit w:val="0"/>
          <w:trHeight w:val="674"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4">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Suministro de tintas para la impresora adquirida para la Actividad Administrativa</w:t>
            </w:r>
          </w:p>
          <w:p w:rsidR="00000000" w:rsidDel="00000000" w:rsidP="00000000" w:rsidRDefault="00000000" w:rsidRPr="00000000" w14:paraId="000001D5">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175.000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A">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 Impresora  Actividad de Administración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1.193.900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1.019.900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1.135.000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1.210.000</w:t>
            </w:r>
          </w:p>
        </w:tc>
      </w:tr>
      <w:tr>
        <w:trPr>
          <w:cantSplit w:val="0"/>
          <w:trHeight w:val="642"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D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Equipo de computo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2.379.000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2.350.000</w:t>
            </w:r>
          </w:p>
          <w:p w:rsidR="00000000" w:rsidDel="00000000" w:rsidP="00000000" w:rsidRDefault="00000000" w:rsidRPr="00000000" w14:paraId="000001E3">
            <w:pPr>
              <w:jc w:val="center"/>
              <w:rPr>
                <w:rFonts w:ascii="Century Gothic" w:cs="Century Gothic" w:eastAsia="Century Gothic" w:hAnsi="Century Gothic"/>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E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2.500.000</w:t>
            </w:r>
          </w:p>
        </w:tc>
      </w:tr>
    </w:tbl>
    <w:p w:rsidR="00000000" w:rsidDel="00000000" w:rsidP="00000000" w:rsidRDefault="00000000" w:rsidRPr="00000000" w14:paraId="000001E5">
      <w:pPr>
        <w:jc w:val="both"/>
        <w:rPr>
          <w:rFonts w:ascii="Century Gothic" w:cs="Century Gothic" w:eastAsia="Century Gothic" w:hAnsi="Century Gothic"/>
          <w:b w:val="1"/>
          <w:sz w:val="22"/>
          <w:szCs w:val="22"/>
        </w:rPr>
      </w:pPr>
      <w:r w:rsidDel="00000000" w:rsidR="00000000" w:rsidRPr="00000000">
        <w:rPr>
          <w:rtl w:val="0"/>
        </w:rPr>
      </w:r>
    </w:p>
    <w:tbl>
      <w:tblPr>
        <w:tblStyle w:val="Table28"/>
        <w:tblW w:w="8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321" w:hRule="atLeast"/>
          <w:tblHeader w:val="0"/>
        </w:trPr>
        <w:tc>
          <w:tcPr>
            <w:shd w:fill="ffffff" w:val="clear"/>
            <w:vAlign w:val="center"/>
          </w:tcPr>
          <w:p w:rsidR="00000000" w:rsidDel="00000000" w:rsidP="00000000" w:rsidRDefault="00000000" w:rsidRPr="00000000" w14:paraId="000001E6">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8">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E9">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shd w:fill="ffffff" w:val="clear"/>
            <w:vAlign w:val="center"/>
          </w:tcPr>
          <w:p w:rsidR="00000000" w:rsidDel="00000000" w:rsidP="00000000" w:rsidRDefault="00000000" w:rsidRPr="00000000" w14:paraId="000001EA">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31" w:hRule="atLeast"/>
          <w:tblHeader w:val="0"/>
        </w:trPr>
        <w:tc>
          <w:tcPr>
            <w:shd w:fill="ffffff" w:val="clear"/>
            <w:vAlign w:val="center"/>
          </w:tcPr>
          <w:p w:rsidR="00000000" w:rsidDel="00000000" w:rsidP="00000000" w:rsidRDefault="00000000" w:rsidRPr="00000000" w14:paraId="000001EB">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Pago mensual de servicio de internet AT - Actividad de Administración y Gestión</w:t>
            </w:r>
          </w:p>
          <w:p w:rsidR="00000000" w:rsidDel="00000000" w:rsidP="00000000" w:rsidRDefault="00000000" w:rsidRPr="00000000" w14:paraId="000001EC">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 </w:t>
            </w:r>
          </w:p>
        </w:tc>
        <w:tc>
          <w:tcPr>
            <w:shd w:fill="ffffff" w:val="clear"/>
            <w:vAlign w:val="center"/>
          </w:tcPr>
          <w:p w:rsidR="00000000" w:rsidDel="00000000" w:rsidP="00000000" w:rsidRDefault="00000000" w:rsidRPr="00000000" w14:paraId="000001ED">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$170.000</w:t>
            </w:r>
          </w:p>
        </w:tc>
        <w:tc>
          <w:tcPr>
            <w:shd w:fill="ffffff" w:val="clear"/>
            <w:vAlign w:val="center"/>
          </w:tcPr>
          <w:p w:rsidR="00000000" w:rsidDel="00000000" w:rsidP="00000000" w:rsidRDefault="00000000" w:rsidRPr="00000000" w14:paraId="000001EE">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$230.000</w:t>
            </w:r>
          </w:p>
        </w:tc>
        <w:tc>
          <w:tcPr>
            <w:shd w:fill="ffffff" w:val="clear"/>
            <w:vAlign w:val="center"/>
          </w:tcPr>
          <w:p w:rsidR="00000000" w:rsidDel="00000000" w:rsidP="00000000" w:rsidRDefault="00000000" w:rsidRPr="00000000" w14:paraId="000001EF">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$200.000</w:t>
            </w:r>
          </w:p>
        </w:tc>
        <w:tc>
          <w:tcPr>
            <w:shd w:fill="ffffff" w:val="clear"/>
            <w:vAlign w:val="center"/>
          </w:tcPr>
          <w:p w:rsidR="00000000" w:rsidDel="00000000" w:rsidP="00000000" w:rsidRDefault="00000000" w:rsidRPr="00000000" w14:paraId="000001F0">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200.000</w:t>
            </w:r>
          </w:p>
        </w:tc>
      </w:tr>
    </w:tbl>
    <w:p w:rsidR="00000000" w:rsidDel="00000000" w:rsidP="00000000" w:rsidRDefault="00000000" w:rsidRPr="00000000" w14:paraId="000001F1">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2">
      <w:pPr>
        <w:jc w:val="both"/>
        <w:rPr>
          <w:rFonts w:ascii="Century Gothic" w:cs="Century Gothic" w:eastAsia="Century Gothic" w:hAnsi="Century Gothic"/>
          <w:b w:val="1"/>
          <w:sz w:val="22"/>
          <w:szCs w:val="22"/>
        </w:rPr>
      </w:pPr>
      <w:r w:rsidDel="00000000" w:rsidR="00000000" w:rsidRPr="00000000">
        <w:rPr>
          <w:rtl w:val="0"/>
        </w:rPr>
      </w:r>
    </w:p>
    <w:tbl>
      <w:tblPr>
        <w:tblStyle w:val="Table29"/>
        <w:tblW w:w="8833.0" w:type="dxa"/>
        <w:jc w:val="left"/>
        <w:tblInd w:w="-5.0" w:type="dxa"/>
        <w:tblLayout w:type="fixed"/>
        <w:tblLook w:val="0400"/>
      </w:tblPr>
      <w:tblGrid>
        <w:gridCol w:w="2089"/>
        <w:gridCol w:w="1686"/>
        <w:gridCol w:w="1686"/>
        <w:gridCol w:w="1686"/>
        <w:gridCol w:w="1686"/>
        <w:tblGridChange w:id="0">
          <w:tblGrid>
            <w:gridCol w:w="2089"/>
            <w:gridCol w:w="1686"/>
            <w:gridCol w:w="1686"/>
            <w:gridCol w:w="1686"/>
            <w:gridCol w:w="1686"/>
          </w:tblGrid>
        </w:tblGridChange>
      </w:tblGrid>
      <w:tr>
        <w:trPr>
          <w:cantSplit w:val="0"/>
          <w:trHeight w:val="44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3">
            <w:pPr>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4">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5">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6">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PROVEEDOR 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F7">
            <w:pPr>
              <w:jc w:val="center"/>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VALORES PROMEDIO</w:t>
            </w:r>
          </w:p>
        </w:tc>
      </w:tr>
      <w:tr>
        <w:trPr>
          <w:cantSplit w:val="0"/>
          <w:trHeight w:val="878"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8">
            <w:pP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Estación de trabajo AT - Actividad de Administración y Gestión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9">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$1.500.00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A">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$1.117.990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$1.300.000</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C">
            <w:pPr>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1.327.100</w:t>
            </w:r>
          </w:p>
        </w:tc>
      </w:tr>
    </w:tbl>
    <w:p w:rsidR="00000000" w:rsidDel="00000000" w:rsidP="00000000" w:rsidRDefault="00000000" w:rsidRPr="00000000" w14:paraId="000001FD">
      <w:pP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1FE">
      <w:pPr>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Recordatorio</w:t>
      </w:r>
      <w:r w:rsidDel="00000000" w:rsidR="00000000" w:rsidRPr="00000000">
        <w:rPr>
          <w:rFonts w:ascii="Century Gothic" w:cs="Century Gothic" w:eastAsia="Century Gothic" w:hAnsi="Century Gothic"/>
          <w:sz w:val="22"/>
          <w:szCs w:val="22"/>
          <w:rtl w:val="0"/>
        </w:rPr>
        <w:t xml:space="preserve">: No olvide que se deberá soportar a través de mínimo (3) cotizaciones los valores del mercado y el criterio de selección</w:t>
      </w:r>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0">
      <w:pPr>
        <w:numPr>
          <w:ilvl w:val="0"/>
          <w:numId w:val="3"/>
        </w:numPr>
        <w:pBdr>
          <w:top w:space="0" w:sz="0" w:val="nil"/>
          <w:left w:space="0" w:sz="0" w:val="nil"/>
          <w:bottom w:space="0" w:sz="0" w:val="nil"/>
          <w:right w:space="0" w:sz="0" w:val="nil"/>
          <w:between w:space="0" w:sz="0" w:val="nil"/>
        </w:pBdr>
        <w:ind w:left="720" w:hanging="360"/>
        <w:jc w:val="both"/>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sz w:val="22"/>
          <w:szCs w:val="22"/>
          <w:rtl w:val="0"/>
        </w:rPr>
        <w:t xml:space="preserve">Gastos apoyo supervisión</w:t>
      </w:r>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firstLine="0"/>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202">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este rubro se enmarcan las actividades, procesos y/o personal dedicados a monitorizar y controlar el proyecto. Estas deberán realizarse de manera paralela a todo el resto de actividades del proyecto, y en especial las que pertenecen a las áreas de planificación y ejecución. </w:t>
      </w:r>
    </w:p>
    <w:p w:rsidR="00000000" w:rsidDel="00000000" w:rsidP="00000000" w:rsidRDefault="00000000" w:rsidRPr="00000000" w14:paraId="00000203">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4">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En el marco del proyecto de Inversión, se contemplan 2 cargos relacionados con e el apoyo a la supervisión del proyecto y los cuales se costean con base a la resolución No. 426 de 2014 “por la cual se establecen los topes máximos a pagar al personal que desarrolle actividades, programas y proyectos financiados con recursos del Sistema General de Regalías, estos topes se actualizan de acuerdo al SMLV. </w:t>
      </w:r>
    </w:p>
    <w:p w:rsidR="00000000" w:rsidDel="00000000" w:rsidP="00000000" w:rsidRDefault="00000000" w:rsidRPr="00000000" w14:paraId="00000205">
      <w:pPr>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6">
      <w:pPr>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Ver link:</w:t>
      </w:r>
    </w:p>
    <w:p w:rsidR="00000000" w:rsidDel="00000000" w:rsidP="00000000" w:rsidRDefault="00000000" w:rsidRPr="00000000" w14:paraId="00000207">
      <w:pPr>
        <w:jc w:val="both"/>
        <w:rPr>
          <w:rFonts w:ascii="Century Gothic" w:cs="Century Gothic" w:eastAsia="Century Gothic" w:hAnsi="Century Gothic"/>
          <w:color w:val="0000ff"/>
          <w:sz w:val="22"/>
          <w:szCs w:val="22"/>
        </w:rPr>
      </w:pPr>
      <w:hyperlink r:id="rId12">
        <w:r w:rsidDel="00000000" w:rsidR="00000000" w:rsidRPr="00000000">
          <w:rPr>
            <w:rFonts w:ascii="Century Gothic" w:cs="Century Gothic" w:eastAsia="Century Gothic" w:hAnsi="Century Gothic"/>
            <w:color w:val="0000ff"/>
            <w:sz w:val="22"/>
            <w:szCs w:val="22"/>
            <w:u w:val="single"/>
            <w:rtl w:val="0"/>
          </w:rPr>
          <w:t xml:space="preserve">https://minciencias.gov.co/sites/default/files/upload/reglamentacion/resolucion426-2014.pdf</w:t>
        </w:r>
      </w:hyperlink>
      <w:r w:rsidDel="00000000" w:rsidR="00000000" w:rsidRPr="00000000">
        <w:rPr>
          <w:rFonts w:ascii="Century Gothic" w:cs="Century Gothic" w:eastAsia="Century Gothic" w:hAnsi="Century Gothic"/>
          <w:color w:val="0000ff"/>
          <w:sz w:val="22"/>
          <w:szCs w:val="22"/>
          <w:rtl w:val="0"/>
        </w:rPr>
        <w:t xml:space="preserve"> </w:t>
      </w:r>
    </w:p>
    <w:p w:rsidR="00000000" w:rsidDel="00000000" w:rsidP="00000000" w:rsidRDefault="00000000" w:rsidRPr="00000000" w14:paraId="00000208">
      <w:pPr>
        <w:rPr>
          <w:rFonts w:ascii="Century Gothic" w:cs="Century Gothic" w:eastAsia="Century Gothic" w:hAnsi="Century Gothic"/>
          <w:sz w:val="22"/>
          <w:szCs w:val="22"/>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0" w:right="17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pos="4419"/>
        <w:tab w:val="right" w:pos="8838"/>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tabs>
        <w:tab w:val="center" w:pos="4419"/>
        <w:tab w:val="right" w:pos="8838"/>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
    <w:lvl w:ilvl="0">
      <w:start w:val="1"/>
      <w:numFmt w:val="decimal"/>
      <w:lvlText w:val="%1."/>
      <w:lvlJc w:val="left"/>
      <w:pPr>
        <w:ind w:left="720" w:hanging="360"/>
      </w:pPr>
      <w:rPr>
        <w:b w:val="1"/>
        <w:color w:val="1f386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3"/>
      <w:numFmt w:val="bullet"/>
      <w:lvlText w:val="-"/>
      <w:lvlJc w:val="left"/>
      <w:pPr>
        <w:ind w:left="720" w:hanging="360"/>
      </w:pPr>
      <w:rPr>
        <w:rFonts w:ascii="Century Gothic" w:cs="Century Gothic" w:eastAsia="Century Gothic" w:hAnsi="Century Gothi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widowControl w:val="0"/>
      <w:spacing w:before="40" w:lineRule="auto"/>
    </w:pPr>
    <w:rPr>
      <w:rFonts w:ascii="Century Gothic" w:cs="Century Gothic" w:eastAsia="Century Gothic" w:hAnsi="Century Gothic"/>
      <w:b w:val="1"/>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A249E5"/>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C93ED9"/>
    <w:pPr>
      <w:keepNext w:val="1"/>
      <w:keepLines w:val="1"/>
      <w:widowControl w:val="0"/>
      <w:autoSpaceDE w:val="0"/>
      <w:autoSpaceDN w:val="0"/>
      <w:spacing w:before="40"/>
      <w:outlineLvl w:val="1"/>
    </w:pPr>
    <w:rPr>
      <w:rFonts w:ascii="Century Gothic" w:hAnsi="Century Gothic" w:cstheme="majorBidi" w:eastAsiaTheme="majorEastAsia"/>
      <w:b w:val="1"/>
      <w:sz w:val="22"/>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D43B14"/>
    <w:pPr>
      <w:ind w:left="720"/>
      <w:contextualSpacing w:val="1"/>
    </w:pPr>
  </w:style>
  <w:style w:type="table" w:styleId="Tablaconcuadrcula">
    <w:name w:val="Table Grid"/>
    <w:basedOn w:val="Tablanormal"/>
    <w:uiPriority w:val="39"/>
    <w:rsid w:val="0004127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decuadrcula5oscura-nfasis5">
    <w:name w:val="Grid Table 5 Dark Accent 5"/>
    <w:basedOn w:val="Tablanormal"/>
    <w:uiPriority w:val="50"/>
    <w:rsid w:val="00F0421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paragraph" w:styleId="Encabezado">
    <w:name w:val="header"/>
    <w:basedOn w:val="Normal"/>
    <w:link w:val="EncabezadoCar"/>
    <w:uiPriority w:val="99"/>
    <w:unhideWhenUsed w:val="1"/>
    <w:rsid w:val="002A6370"/>
    <w:pPr>
      <w:tabs>
        <w:tab w:val="center" w:pos="4419"/>
        <w:tab w:val="right" w:pos="8838"/>
      </w:tabs>
    </w:pPr>
  </w:style>
  <w:style w:type="character" w:styleId="EncabezadoCar" w:customStyle="1">
    <w:name w:val="Encabezado Car"/>
    <w:basedOn w:val="Fuentedeprrafopredeter"/>
    <w:link w:val="Encabezado"/>
    <w:uiPriority w:val="99"/>
    <w:rsid w:val="002A6370"/>
  </w:style>
  <w:style w:type="paragraph" w:styleId="Piedepgina">
    <w:name w:val="footer"/>
    <w:basedOn w:val="Normal"/>
    <w:link w:val="PiedepginaCar"/>
    <w:uiPriority w:val="99"/>
    <w:unhideWhenUsed w:val="1"/>
    <w:rsid w:val="002A6370"/>
    <w:pPr>
      <w:tabs>
        <w:tab w:val="center" w:pos="4419"/>
        <w:tab w:val="right" w:pos="8838"/>
      </w:tabs>
    </w:pPr>
  </w:style>
  <w:style w:type="character" w:styleId="PiedepginaCar" w:customStyle="1">
    <w:name w:val="Pie de página Car"/>
    <w:basedOn w:val="Fuentedeprrafopredeter"/>
    <w:link w:val="Piedepgina"/>
    <w:uiPriority w:val="99"/>
    <w:rsid w:val="002A6370"/>
  </w:style>
  <w:style w:type="character" w:styleId="Ttulo2Car" w:customStyle="1">
    <w:name w:val="Título 2 Car"/>
    <w:basedOn w:val="Fuentedeprrafopredeter"/>
    <w:link w:val="Ttulo2"/>
    <w:uiPriority w:val="9"/>
    <w:rsid w:val="00C93ED9"/>
    <w:rPr>
      <w:rFonts w:ascii="Century Gothic" w:hAnsi="Century Gothic" w:cstheme="majorBidi" w:eastAsiaTheme="majorEastAsia"/>
      <w:b w:val="1"/>
      <w:sz w:val="22"/>
      <w:szCs w:val="26"/>
      <w:lang w:val="es-ES"/>
    </w:rPr>
  </w:style>
  <w:style w:type="character" w:styleId="Hipervnculo">
    <w:name w:val="Hyperlink"/>
    <w:basedOn w:val="Fuentedeprrafopredeter"/>
    <w:uiPriority w:val="99"/>
    <w:unhideWhenUsed w:val="1"/>
    <w:rsid w:val="002B57AE"/>
    <w:rPr>
      <w:color w:val="0563c1" w:themeColor="hyperlink"/>
      <w:u w:val="single"/>
    </w:rPr>
  </w:style>
  <w:style w:type="character" w:styleId="UnresolvedMention" w:customStyle="1">
    <w:name w:val="Unresolved Mention"/>
    <w:basedOn w:val="Fuentedeprrafopredeter"/>
    <w:uiPriority w:val="99"/>
    <w:semiHidden w:val="1"/>
    <w:unhideWhenUsed w:val="1"/>
    <w:rsid w:val="002B57AE"/>
    <w:rPr>
      <w:color w:val="605e5c"/>
      <w:shd w:color="auto" w:fill="e1dfdd" w:val="clear"/>
    </w:rPr>
  </w:style>
  <w:style w:type="character" w:styleId="Nmerodepgina">
    <w:name w:val="page number"/>
    <w:basedOn w:val="Fuentedeprrafopredeter"/>
    <w:uiPriority w:val="99"/>
    <w:semiHidden w:val="1"/>
    <w:unhideWhenUsed w:val="1"/>
    <w:rsid w:val="003863D9"/>
  </w:style>
  <w:style w:type="character" w:styleId="Textoennegrita">
    <w:name w:val="Strong"/>
    <w:basedOn w:val="Fuentedeprrafopredeter"/>
    <w:uiPriority w:val="22"/>
    <w:qFormat w:val="1"/>
    <w:rsid w:val="00BD7325"/>
    <w:rPr>
      <w:b w:val="1"/>
      <w:bCs w:val="1"/>
    </w:rPr>
  </w:style>
  <w:style w:type="character" w:styleId="Ttulo1Car" w:customStyle="1">
    <w:name w:val="Título 1 Car"/>
    <w:basedOn w:val="Fuentedeprrafopredeter"/>
    <w:link w:val="Ttulo1"/>
    <w:uiPriority w:val="9"/>
    <w:rsid w:val="00A249E5"/>
    <w:rPr>
      <w:rFonts w:asciiTheme="majorHAnsi" w:cstheme="majorBidi" w:eastAsiaTheme="majorEastAsia" w:hAnsiTheme="majorHAnsi"/>
      <w:color w:val="2f5496" w:themeColor="accent1" w:themeShade="0000BF"/>
      <w:sz w:val="32"/>
      <w:szCs w:val="32"/>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0" w:customStyle="1">
    <w:basedOn w:val="TableNormal1"/>
    <w:tblPr>
      <w:tblStyleRowBandSize w:val="1"/>
      <w:tblStyleColBandSize w:val="1"/>
      <w:tblCellMar>
        <w:left w:w="115.0" w:type="dxa"/>
        <w:right w:w="115.0" w:type="dxa"/>
      </w:tblCellMar>
    </w:tblPr>
    <w:tcPr>
      <w:shd w:color="auto" w:fill="deebf6" w:val="clear"/>
    </w:tcPr>
  </w:style>
  <w:style w:type="table" w:styleId="a1" w:customStyle="1">
    <w:basedOn w:val="TableNormal1"/>
    <w:tblPr>
      <w:tblStyleRowBandSize w:val="1"/>
      <w:tblStyleColBandSize w:val="1"/>
      <w:tblCellMar>
        <w:left w:w="115.0" w:type="dxa"/>
        <w:right w:w="115.0" w:type="dxa"/>
      </w:tblCellMar>
    </w:tblPr>
    <w:tcPr>
      <w:shd w:color="auto" w:fill="deebf6" w:val="clear"/>
    </w:tcPr>
  </w:style>
  <w:style w:type="table" w:styleId="a2" w:customStyle="1">
    <w:basedOn w:val="TableNormal1"/>
    <w:tblPr>
      <w:tblStyleRowBandSize w:val="1"/>
      <w:tblStyleColBandSize w:val="1"/>
      <w:tblCellMar>
        <w:left w:w="115.0" w:type="dxa"/>
        <w:right w:w="115.0" w:type="dxa"/>
      </w:tblCellMar>
    </w:tblPr>
    <w:tcPr>
      <w:shd w:color="auto" w:fill="deebf6" w:val="clear"/>
    </w:tcPr>
  </w:style>
  <w:style w:type="table" w:styleId="a3" w:customStyle="1">
    <w:basedOn w:val="TableNormal1"/>
    <w:tblPr>
      <w:tblStyleRowBandSize w:val="1"/>
      <w:tblStyleColBandSize w:val="1"/>
      <w:tblCellMar>
        <w:left w:w="115.0" w:type="dxa"/>
        <w:right w:w="115.0" w:type="dxa"/>
      </w:tblCellMar>
    </w:tblPr>
    <w:tcPr>
      <w:shd w:color="auto" w:fill="deebf6" w:val="clear"/>
    </w:tcPr>
  </w:style>
  <w:style w:type="table" w:styleId="a4" w:customStyle="1">
    <w:basedOn w:val="TableNormal1"/>
    <w:tblPr>
      <w:tblStyleRowBandSize w:val="1"/>
      <w:tblStyleColBandSize w:val="1"/>
      <w:tblCellMar>
        <w:left w:w="115.0" w:type="dxa"/>
        <w:right w:w="115.0" w:type="dxa"/>
      </w:tblCellMar>
    </w:tblPr>
    <w:tcPr>
      <w:shd w:color="auto" w:fill="deebf6" w:val="clear"/>
    </w:tcPr>
  </w:style>
  <w:style w:type="table" w:styleId="a5" w:customStyle="1">
    <w:basedOn w:val="TableNormal1"/>
    <w:tblPr>
      <w:tblStyleRowBandSize w:val="1"/>
      <w:tblStyleColBandSize w:val="1"/>
      <w:tblCellMar>
        <w:left w:w="115.0" w:type="dxa"/>
        <w:right w:w="115.0" w:type="dxa"/>
      </w:tblCellMar>
    </w:tblPr>
    <w:tcPr>
      <w:shd w:color="auto" w:fill="deebf6" w:val="clear"/>
    </w:tcPr>
  </w:style>
  <w:style w:type="table" w:styleId="a6" w:customStyle="1">
    <w:basedOn w:val="TableNormal1"/>
    <w:tblPr>
      <w:tblStyleRowBandSize w:val="1"/>
      <w:tblStyleColBandSize w:val="1"/>
      <w:tblCellMar>
        <w:left w:w="115.0" w:type="dxa"/>
        <w:right w:w="115.0" w:type="dxa"/>
      </w:tblCellMar>
    </w:tblPr>
    <w:tcPr>
      <w:shd w:color="auto" w:fill="deebf6" w:val="clear"/>
    </w:tcPr>
  </w:style>
  <w:style w:type="table" w:styleId="a7" w:customStyle="1">
    <w:basedOn w:val="TableNormal1"/>
    <w:tblPr>
      <w:tblStyleRowBandSize w:val="1"/>
      <w:tblStyleColBandSize w:val="1"/>
      <w:tblCellMar>
        <w:left w:w="115.0" w:type="dxa"/>
        <w:right w:w="115.0" w:type="dxa"/>
      </w:tblCellMar>
    </w:tblPr>
    <w:tcPr>
      <w:shd w:color="auto" w:fill="deebf6" w:val="clear"/>
    </w:tcPr>
  </w:style>
  <w:style w:type="table" w:styleId="a8" w:customStyle="1">
    <w:basedOn w:val="TableNormal1"/>
    <w:tblPr>
      <w:tblStyleRowBandSize w:val="1"/>
      <w:tblStyleColBandSize w:val="1"/>
      <w:tblCellMar>
        <w:left w:w="115.0" w:type="dxa"/>
        <w:right w:w="115.0" w:type="dxa"/>
      </w:tblCellMar>
    </w:tblPr>
    <w:tcPr>
      <w:shd w:color="auto" w:fill="deebf6" w:val="clear"/>
    </w:tcPr>
  </w:style>
  <w:style w:type="table" w:styleId="a9" w:customStyle="1">
    <w:basedOn w:val="TableNormal1"/>
    <w:tblPr>
      <w:tblStyleRowBandSize w:val="1"/>
      <w:tblStyleColBandSize w:val="1"/>
      <w:tblCellMar>
        <w:left w:w="115.0" w:type="dxa"/>
        <w:right w:w="115.0" w:type="dxa"/>
      </w:tblCellMar>
    </w:tblPr>
    <w:tcPr>
      <w:shd w:color="auto" w:fill="deebf6" w:val="clear"/>
    </w:tcPr>
  </w:style>
  <w:style w:type="table" w:styleId="aa" w:customStyle="1">
    <w:basedOn w:val="TableNormal1"/>
    <w:tblPr>
      <w:tblStyleRowBandSize w:val="1"/>
      <w:tblStyleColBandSize w:val="1"/>
      <w:tblCellMar>
        <w:left w:w="115.0" w:type="dxa"/>
        <w:right w:w="115.0" w:type="dxa"/>
      </w:tblCellMar>
    </w:tblPr>
    <w:tcPr>
      <w:shd w:color="auto" w:fill="deebf6" w:val="clear"/>
    </w:tcPr>
  </w:style>
  <w:style w:type="table" w:styleId="ab" w:customStyle="1">
    <w:basedOn w:val="TableNormal1"/>
    <w:tblPr>
      <w:tblStyleRowBandSize w:val="1"/>
      <w:tblStyleColBandSize w:val="1"/>
      <w:tblCellMar>
        <w:left w:w="115.0" w:type="dxa"/>
        <w:right w:w="115.0" w:type="dxa"/>
      </w:tblCellMar>
    </w:tblPr>
    <w:tcPr>
      <w:shd w:color="auto" w:fill="deebf6" w:val="clear"/>
    </w:tcPr>
  </w:style>
  <w:style w:type="table" w:styleId="ac" w:customStyle="1">
    <w:basedOn w:val="TableNormal1"/>
    <w:tblPr>
      <w:tblStyleRowBandSize w:val="1"/>
      <w:tblStyleColBandSize w:val="1"/>
      <w:tblCellMar>
        <w:left w:w="115.0" w:type="dxa"/>
        <w:right w:w="115.0" w:type="dxa"/>
      </w:tblCellMar>
    </w:tblPr>
    <w:tcPr>
      <w:shd w:color="auto" w:fill="deebf6" w:val="clear"/>
    </w:tcPr>
  </w:style>
  <w:style w:type="table" w:styleId="ad" w:customStyle="1">
    <w:basedOn w:val="TableNormal1"/>
    <w:tblPr>
      <w:tblStyleRowBandSize w:val="1"/>
      <w:tblStyleColBandSize w:val="1"/>
      <w:tblCellMar>
        <w:left w:w="115.0" w:type="dxa"/>
        <w:right w:w="115.0" w:type="dxa"/>
      </w:tblCellMar>
    </w:tblPr>
    <w:tcPr>
      <w:shd w:color="auto" w:fill="deebf6" w:val="clear"/>
    </w:tcPr>
  </w:style>
  <w:style w:type="table" w:styleId="ae" w:customStyle="1">
    <w:basedOn w:val="TableNormal1"/>
    <w:tblPr>
      <w:tblStyleRowBandSize w:val="1"/>
      <w:tblStyleColBandSize w:val="1"/>
      <w:tblCellMar>
        <w:left w:w="115.0" w:type="dxa"/>
        <w:right w:w="115.0" w:type="dxa"/>
      </w:tblCellMar>
    </w:tblPr>
    <w:tcPr>
      <w:shd w:color="auto" w:fill="deebf6" w:val="clear"/>
    </w:tcPr>
  </w:style>
  <w:style w:type="table" w:styleId="af" w:customStyle="1">
    <w:basedOn w:val="TableNormal1"/>
    <w:tblPr>
      <w:tblStyleRowBandSize w:val="1"/>
      <w:tblStyleColBandSize w:val="1"/>
      <w:tblCellMar>
        <w:left w:w="115.0" w:type="dxa"/>
        <w:right w:w="115.0" w:type="dxa"/>
      </w:tblCellMar>
    </w:tblPr>
    <w:tcPr>
      <w:shd w:color="auto" w:fill="deebf6" w:val="clear"/>
    </w:tcPr>
  </w:style>
  <w:style w:type="table" w:styleId="af0" w:customStyle="1">
    <w:basedOn w:val="TableNormal1"/>
    <w:tblPr>
      <w:tblStyleRowBandSize w:val="1"/>
      <w:tblStyleColBandSize w:val="1"/>
      <w:tblCellMar>
        <w:left w:w="115.0" w:type="dxa"/>
        <w:right w:w="115.0" w:type="dxa"/>
      </w:tblCellMar>
    </w:tblPr>
    <w:tcPr>
      <w:shd w:color="auto" w:fill="deebf6" w:val="clear"/>
    </w:tcPr>
  </w:style>
  <w:style w:type="table" w:styleId="af1" w:customStyle="1">
    <w:basedOn w:val="TableNormal1"/>
    <w:tblPr>
      <w:tblStyleRowBandSize w:val="1"/>
      <w:tblStyleColBandSize w:val="1"/>
      <w:tblCellMar>
        <w:left w:w="115.0" w:type="dxa"/>
        <w:right w:w="115.0" w:type="dxa"/>
      </w:tblCellMar>
    </w:tblPr>
    <w:tcPr>
      <w:shd w:color="auto" w:fill="deebf6" w:val="clear"/>
    </w:tcPr>
  </w:style>
  <w:style w:type="table" w:styleId="af2" w:customStyle="1">
    <w:basedOn w:val="TableNormal1"/>
    <w:tblPr>
      <w:tblStyleRowBandSize w:val="1"/>
      <w:tblStyleColBandSize w:val="1"/>
      <w:tblCellMar>
        <w:left w:w="115.0" w:type="dxa"/>
        <w:right w:w="115.0" w:type="dxa"/>
      </w:tblCellMar>
    </w:tblPr>
    <w:tcPr>
      <w:shd w:color="auto" w:fill="deebf6" w:val="clear"/>
    </w:tcPr>
  </w:style>
  <w:style w:type="table" w:styleId="af3" w:customStyle="1">
    <w:basedOn w:val="TableNormal1"/>
    <w:tblPr>
      <w:tblStyleRowBandSize w:val="1"/>
      <w:tblStyleColBandSize w:val="1"/>
      <w:tblCellMar>
        <w:left w:w="115.0" w:type="dxa"/>
        <w:right w:w="115.0" w:type="dxa"/>
      </w:tblCellMar>
    </w:tblPr>
    <w:tcPr>
      <w:shd w:color="auto" w:fill="deebf6" w:val="clear"/>
    </w:tcPr>
  </w:style>
  <w:style w:type="table" w:styleId="af4" w:customStyle="1">
    <w:basedOn w:val="TableNormal1"/>
    <w:tblPr>
      <w:tblStyleRowBandSize w:val="1"/>
      <w:tblStyleColBandSize w:val="1"/>
      <w:tblCellMar>
        <w:left w:w="115.0" w:type="dxa"/>
        <w:right w:w="115.0" w:type="dxa"/>
      </w:tblCellMar>
    </w:tblPr>
    <w:tcPr>
      <w:shd w:color="auto" w:fill="deebf6" w:val="clear"/>
    </w:tcPr>
  </w:style>
  <w:style w:type="table" w:styleId="af5" w:customStyle="1">
    <w:basedOn w:val="TableNormal1"/>
    <w:tblPr>
      <w:tblStyleRowBandSize w:val="1"/>
      <w:tblStyleColBandSize w:val="1"/>
      <w:tblCellMar>
        <w:left w:w="115.0" w:type="dxa"/>
        <w:right w:w="115.0" w:type="dxa"/>
      </w:tblCellMar>
    </w:tblPr>
    <w:tcPr>
      <w:shd w:color="auto" w:fill="deebf6" w:val="clear"/>
    </w:tcPr>
  </w:style>
  <w:style w:type="table" w:styleId="af6" w:customStyle="1">
    <w:basedOn w:val="TableNormal1"/>
    <w:tblPr>
      <w:tblStyleRowBandSize w:val="1"/>
      <w:tblStyleColBandSize w:val="1"/>
      <w:tblCellMar>
        <w:left w:w="115.0" w:type="dxa"/>
        <w:right w:w="115.0" w:type="dxa"/>
      </w:tblCellMar>
    </w:tblPr>
    <w:tcPr>
      <w:shd w:color="auto" w:fill="deebf6" w:val="clear"/>
    </w:tcPr>
  </w:style>
  <w:style w:type="table" w:styleId="af7" w:customStyle="1">
    <w:basedOn w:val="TableNormal1"/>
    <w:tblPr>
      <w:tblStyleRowBandSize w:val="1"/>
      <w:tblStyleColBandSize w:val="1"/>
      <w:tblCellMar>
        <w:left w:w="115.0" w:type="dxa"/>
        <w:right w:w="115.0" w:type="dxa"/>
      </w:tblCellMar>
    </w:tblPr>
    <w:tcPr>
      <w:shd w:color="auto" w:fill="deebf6" w:val="clear"/>
    </w:tcPr>
  </w:style>
  <w:style w:type="table" w:styleId="af8" w:customStyle="1">
    <w:basedOn w:val="TableNormal1"/>
    <w:tblPr>
      <w:tblStyleRowBandSize w:val="1"/>
      <w:tblStyleColBandSize w:val="1"/>
      <w:tblCellMar>
        <w:left w:w="70.0" w:type="dxa"/>
        <w:right w:w="70.0" w:type="dxa"/>
      </w:tblCellMar>
    </w:tblPr>
  </w:style>
  <w:style w:type="table" w:styleId="af9" w:customStyle="1">
    <w:basedOn w:val="TableNormal1"/>
    <w:tblPr>
      <w:tblStyleRowBandSize w:val="1"/>
      <w:tblStyleColBandSize w:val="1"/>
      <w:tblCellMar>
        <w:left w:w="70.0" w:type="dxa"/>
        <w:right w:w="70.0" w:type="dxa"/>
      </w:tblCellMar>
    </w:tblPr>
  </w:style>
  <w:style w:type="table" w:styleId="afa" w:customStyle="1">
    <w:basedOn w:val="TableNormal1"/>
    <w:tblPr>
      <w:tblStyleRowBandSize w:val="1"/>
      <w:tblStyleColBandSize w:val="1"/>
      <w:tblCellMar>
        <w:left w:w="70.0" w:type="dxa"/>
        <w:right w:w="70.0" w:type="dxa"/>
      </w:tblCellMar>
    </w:tblPr>
  </w:style>
  <w:style w:type="table" w:styleId="afb" w:customStyle="1">
    <w:basedOn w:val="TableNormal1"/>
    <w:tblPr>
      <w:tblStyleRowBandSize w:val="1"/>
      <w:tblStyleColBandSize w:val="1"/>
      <w:tblCellMar>
        <w:left w:w="70.0" w:type="dxa"/>
        <w:right w:w="70.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c" w:customStyle="1">
    <w:basedOn w:val="TableNormal1"/>
    <w:tblPr>
      <w:tblStyleRowBandSize w:val="1"/>
      <w:tblStyleColBandSize w:val="1"/>
      <w:tblCellMar>
        <w:left w:w="70.0" w:type="dxa"/>
        <w:right w:w="70.0" w:type="dxa"/>
      </w:tblCellMar>
    </w:tblPr>
    <w:tcPr>
      <w:shd w:color="auto" w:fill="deebf6" w:val="clear"/>
    </w:tcPr>
  </w:style>
  <w:style w:type="table" w:styleId="afd" w:customStyle="1">
    <w:basedOn w:val="TableNormal1"/>
    <w:tblPr>
      <w:tblStyleRowBandSize w:val="1"/>
      <w:tblStyleColBandSize w:val="1"/>
      <w:tblCellMar>
        <w:left w:w="70.0" w:type="dxa"/>
        <w:right w:w="70.0" w:type="dxa"/>
      </w:tblCellMar>
    </w:tblPr>
    <w:tcPr>
      <w:shd w:color="auto" w:fill="deebf6" w:val="clear"/>
    </w:tcPr>
  </w:style>
  <w:style w:type="table" w:styleId="afe" w:customStyle="1">
    <w:basedOn w:val="TableNormal1"/>
    <w:tblPr>
      <w:tblStyleRowBandSize w:val="1"/>
      <w:tblStyleColBandSize w:val="1"/>
      <w:tblCellMar>
        <w:left w:w="70.0" w:type="dxa"/>
        <w:right w:w="70.0" w:type="dxa"/>
      </w:tblCellMar>
    </w:tblPr>
    <w:tcPr>
      <w:shd w:color="auto" w:fill="deebf6" w:val="clear"/>
    </w:tcPr>
  </w:style>
  <w:style w:type="table" w:styleId="aff" w:customStyle="1">
    <w:basedOn w:val="TableNormal1"/>
    <w:tblPr>
      <w:tblStyleRowBandSize w:val="1"/>
      <w:tblStyleColBandSize w:val="1"/>
      <w:tblCellMar>
        <w:top w:w="100.0" w:type="dxa"/>
        <w:left w:w="100.0" w:type="dxa"/>
        <w:bottom w:w="100.0" w:type="dxa"/>
        <w:right w:w="100.0" w:type="dxa"/>
      </w:tblCellMar>
    </w:tblPr>
  </w:style>
  <w:style w:type="table" w:styleId="aff0" w:customStyle="1">
    <w:basedOn w:val="TableNormal1"/>
    <w:tblPr>
      <w:tblStyleRowBandSize w:val="1"/>
      <w:tblStyleColBandSize w:val="1"/>
      <w:tblCellMar>
        <w:left w:w="70.0" w:type="dxa"/>
        <w:right w:w="70.0" w:type="dxa"/>
      </w:tblCellMar>
    </w:tblPr>
    <w:tcPr>
      <w:shd w:color="auto" w:fill="deebf6" w:val="clear"/>
    </w:tcPr>
  </w:style>
  <w:style w:type="table" w:styleId="aff1" w:customStyle="1">
    <w:basedOn w:val="TableNormal1"/>
    <w:tblPr>
      <w:tblStyleRowBandSize w:val="1"/>
      <w:tblStyleColBandSize w:val="1"/>
      <w:tblCellMar>
        <w:left w:w="70.0" w:type="dxa"/>
        <w:right w:w="70.0" w:type="dxa"/>
      </w:tblCellMar>
    </w:tblPr>
    <w:tcPr>
      <w:shd w:color="auto" w:fill="deebf6" w:val="clear"/>
    </w:tcPr>
  </w:style>
  <w:style w:type="table" w:styleId="aff2" w:customStyle="1">
    <w:basedOn w:val="TableNormal1"/>
    <w:tblPr>
      <w:tblStyleRowBandSize w:val="1"/>
      <w:tblStyleColBandSize w:val="1"/>
      <w:tblCellMar>
        <w:left w:w="70.0" w:type="dxa"/>
        <w:right w:w="70.0" w:type="dxa"/>
      </w:tblCellMar>
    </w:tblPr>
    <w:tcPr>
      <w:shd w:color="auto" w:fill="deebf6" w:val="clear"/>
    </w:tcPr>
  </w:style>
  <w:style w:type="table" w:styleId="aff3" w:customStyle="1">
    <w:basedOn w:val="TableNormal1"/>
    <w:tblPr>
      <w:tblStyleRowBandSize w:val="1"/>
      <w:tblStyleColBandSize w:val="1"/>
      <w:tblCellMar>
        <w:left w:w="70.0" w:type="dxa"/>
        <w:right w:w="70.0" w:type="dxa"/>
      </w:tblCellMar>
    </w:tblPr>
    <w:tcPr>
      <w:shd w:color="auto" w:fill="deebf6" w:val="clear"/>
    </w:tcPr>
  </w:style>
  <w:style w:type="table" w:styleId="aff4" w:customStyle="1">
    <w:basedOn w:val="TableNormal1"/>
    <w:tblPr>
      <w:tblStyleRowBandSize w:val="1"/>
      <w:tblStyleColBandSize w:val="1"/>
      <w:tblCellMar>
        <w:left w:w="70.0" w:type="dxa"/>
        <w:right w:w="70.0" w:type="dxa"/>
      </w:tblCellMar>
    </w:tblPr>
    <w:tcPr>
      <w:shd w:color="auto" w:fill="deebf6" w:val="clear"/>
    </w:tcPr>
  </w:style>
  <w:style w:type="table" w:styleId="aff5" w:customStyle="1">
    <w:basedOn w:val="TableNormal1"/>
    <w:tblPr>
      <w:tblStyleRowBandSize w:val="1"/>
      <w:tblStyleColBandSize w:val="1"/>
      <w:tblCellMar>
        <w:left w:w="70.0" w:type="dxa"/>
        <w:right w:w="70.0" w:type="dxa"/>
      </w:tblCellMar>
    </w:tblPr>
    <w:tcPr>
      <w:shd w:color="auto" w:fill="deebf6" w:val="clear"/>
    </w:tcPr>
  </w:style>
  <w:style w:type="table" w:styleId="aff6" w:customStyle="1">
    <w:basedOn w:val="TableNormal1"/>
    <w:tblPr>
      <w:tblStyleRowBandSize w:val="1"/>
      <w:tblStyleColBandSize w:val="1"/>
      <w:tblCellMar>
        <w:left w:w="70.0" w:type="dxa"/>
        <w:right w:w="70.0" w:type="dxa"/>
      </w:tblCellMar>
    </w:tblPr>
    <w:tcPr>
      <w:shd w:color="auto" w:fill="deebf6" w:val="clear"/>
    </w:tcPr>
  </w:style>
  <w:style w:type="table" w:styleId="aff7" w:customStyle="1">
    <w:basedOn w:val="TableNormal1"/>
    <w:tblPr>
      <w:tblStyleRowBandSize w:val="1"/>
      <w:tblStyleColBandSize w:val="1"/>
      <w:tblCellMar>
        <w:left w:w="70.0" w:type="dxa"/>
        <w:right w:w="70.0" w:type="dxa"/>
      </w:tblCellMar>
    </w:tblPr>
    <w:tcPr>
      <w:shd w:color="auto" w:fill="deebf6" w:val="clear"/>
    </w:tcPr>
  </w:style>
  <w:style w:type="table" w:styleId="aff8" w:customStyle="1">
    <w:basedOn w:val="TableNormal1"/>
    <w:tblPr>
      <w:tblStyleRowBandSize w:val="1"/>
      <w:tblStyleColBandSize w:val="1"/>
      <w:tblCellMar>
        <w:left w:w="70.0" w:type="dxa"/>
        <w:right w:w="70.0" w:type="dxa"/>
      </w:tblCellMar>
    </w:tblPr>
    <w:tcPr>
      <w:shd w:color="auto" w:fill="deebf6" w:val="clear"/>
    </w:tcPr>
  </w:style>
  <w:style w:type="table" w:styleId="aff9" w:customStyle="1">
    <w:basedOn w:val="TableNormal1"/>
    <w:tblPr>
      <w:tblStyleRowBandSize w:val="1"/>
      <w:tblStyleColBandSize w:val="1"/>
      <w:tblCellMar>
        <w:left w:w="70.0" w:type="dxa"/>
        <w:right w:w="70.0" w:type="dxa"/>
      </w:tblCellMar>
    </w:tblPr>
    <w:tcPr>
      <w:shd w:color="auto" w:fill="deebf6" w:val="clear"/>
    </w:tcPr>
  </w:style>
  <w:style w:type="table" w:styleId="affa" w:customStyle="1">
    <w:basedOn w:val="TableNormal1"/>
    <w:tblPr>
      <w:tblStyleRowBandSize w:val="1"/>
      <w:tblStyleColBandSize w:val="1"/>
      <w:tblCellMar>
        <w:left w:w="70.0" w:type="dxa"/>
        <w:right w:w="70.0" w:type="dxa"/>
      </w:tblCellMar>
    </w:tblPr>
    <w:tcPr>
      <w:shd w:color="auto" w:fill="deebf6" w:val="clear"/>
    </w:tcPr>
  </w:style>
  <w:style w:type="table" w:styleId="affb" w:customStyle="1">
    <w:basedOn w:val="TableNormal1"/>
    <w:tblPr>
      <w:tblStyleRowBandSize w:val="1"/>
      <w:tblStyleColBandSize w:val="1"/>
      <w:tblCellMar>
        <w:left w:w="70.0" w:type="dxa"/>
        <w:right w:w="70.0" w:type="dxa"/>
      </w:tblCellMar>
    </w:tblPr>
    <w:tcPr>
      <w:shd w:color="auto" w:fill="deebf6" w:val="clear"/>
    </w:tcPr>
  </w:style>
  <w:style w:type="table" w:styleId="affc" w:customStyle="1">
    <w:basedOn w:val="TableNormal1"/>
    <w:tblPr>
      <w:tblStyleRowBandSize w:val="1"/>
      <w:tblStyleColBandSize w:val="1"/>
      <w:tblCellMar>
        <w:left w:w="70.0" w:type="dxa"/>
        <w:right w:w="70.0" w:type="dxa"/>
      </w:tblCellMar>
    </w:tblPr>
    <w:tcPr>
      <w:shd w:color="auto" w:fill="deebf6" w:val="clear"/>
    </w:tcPr>
  </w:style>
  <w:style w:type="table" w:styleId="affd" w:customStyle="1">
    <w:basedOn w:val="TableNormal1"/>
    <w:tblPr>
      <w:tblStyleRowBandSize w:val="1"/>
      <w:tblStyleColBandSize w:val="1"/>
      <w:tblCellMar>
        <w:left w:w="70.0" w:type="dxa"/>
        <w:right w:w="70.0" w:type="dxa"/>
      </w:tblCellMar>
    </w:tblPr>
    <w:tcPr>
      <w:shd w:color="auto" w:fill="deebf6" w:val="clear"/>
    </w:tcPr>
  </w:style>
  <w:style w:type="table" w:styleId="affe" w:customStyle="1">
    <w:basedOn w:val="TableNormal1"/>
    <w:tblPr>
      <w:tblStyleRowBandSize w:val="1"/>
      <w:tblStyleColBandSize w:val="1"/>
      <w:tblCellMar>
        <w:left w:w="70.0" w:type="dxa"/>
        <w:right w:w="70.0" w:type="dxa"/>
      </w:tblCellMar>
    </w:tblPr>
    <w:tcPr>
      <w:shd w:color="auto" w:fill="deebf6" w:val="clear"/>
    </w:tcPr>
  </w:style>
  <w:style w:type="table" w:styleId="afff" w:customStyle="1">
    <w:basedOn w:val="TableNormal1"/>
    <w:tblPr>
      <w:tblStyleRowBandSize w:val="1"/>
      <w:tblStyleColBandSize w:val="1"/>
      <w:tblCellMar>
        <w:left w:w="70.0" w:type="dxa"/>
        <w:right w:w="70.0" w:type="dxa"/>
      </w:tblCellMar>
    </w:tblPr>
    <w:tcPr>
      <w:shd w:color="auto" w:fill="deebf6" w:val="clear"/>
    </w:tcPr>
  </w:style>
  <w:style w:type="table" w:styleId="afff0" w:customStyle="1">
    <w:basedOn w:val="TableNormal1"/>
    <w:tblPr>
      <w:tblStyleRowBandSize w:val="1"/>
      <w:tblStyleColBandSize w:val="1"/>
      <w:tblCellMar>
        <w:left w:w="70.0" w:type="dxa"/>
        <w:right w:w="70.0" w:type="dxa"/>
      </w:tblCellMar>
    </w:tblPr>
    <w:tcPr>
      <w:shd w:color="auto" w:fill="deebf6" w:val="clear"/>
    </w:tcPr>
  </w:style>
  <w:style w:type="table" w:styleId="afff1" w:customStyle="1">
    <w:basedOn w:val="TableNormal1"/>
    <w:tblPr>
      <w:tblStyleRowBandSize w:val="1"/>
      <w:tblStyleColBandSize w:val="1"/>
      <w:tblCellMar>
        <w:left w:w="70.0" w:type="dxa"/>
        <w:right w:w="70.0" w:type="dxa"/>
      </w:tblCellMar>
    </w:tblPr>
    <w:tcPr>
      <w:shd w:color="auto" w:fill="deebf6" w:val="clear"/>
    </w:tcPr>
  </w:style>
  <w:style w:type="table" w:styleId="afff2" w:customStyle="1">
    <w:basedOn w:val="TableNormal1"/>
    <w:tblPr>
      <w:tblStyleRowBandSize w:val="1"/>
      <w:tblStyleColBandSize w:val="1"/>
      <w:tblCellMar>
        <w:left w:w="70.0" w:type="dxa"/>
        <w:right w:w="70.0" w:type="dxa"/>
      </w:tblCellMar>
    </w:tblPr>
    <w:tcPr>
      <w:shd w:color="auto" w:fill="deebf6" w:val="clear"/>
    </w:tcPr>
  </w:style>
  <w:style w:type="table" w:styleId="afff3" w:customStyle="1">
    <w:basedOn w:val="TableNormal1"/>
    <w:tblPr>
      <w:tblStyleRowBandSize w:val="1"/>
      <w:tblStyleColBandSize w:val="1"/>
      <w:tblCellMar>
        <w:left w:w="70.0" w:type="dxa"/>
        <w:right w:w="70.0" w:type="dxa"/>
      </w:tblCellMar>
    </w:tblPr>
    <w:tcPr>
      <w:shd w:color="auto" w:fill="deebf6" w:val="clear"/>
    </w:tcPr>
  </w:style>
  <w:style w:type="table" w:styleId="afff4" w:customStyle="1">
    <w:basedOn w:val="TableNormal1"/>
    <w:tblPr>
      <w:tblStyleRowBandSize w:val="1"/>
      <w:tblStyleColBandSize w:val="1"/>
      <w:tblCellMar>
        <w:left w:w="70.0" w:type="dxa"/>
        <w:right w:w="70.0" w:type="dxa"/>
      </w:tblCellMar>
    </w:tblPr>
    <w:tcPr>
      <w:shd w:color="auto" w:fill="deebf6" w:val="clear"/>
    </w:tcPr>
  </w:style>
  <w:style w:type="table" w:styleId="afff5" w:customStyle="1">
    <w:basedOn w:val="TableNormal1"/>
    <w:tblPr>
      <w:tblStyleRowBandSize w:val="1"/>
      <w:tblStyleColBandSize w:val="1"/>
      <w:tblCellMar>
        <w:left w:w="70.0" w:type="dxa"/>
        <w:right w:w="70.0" w:type="dxa"/>
      </w:tblCellMar>
    </w:tblPr>
    <w:tcPr>
      <w:shd w:color="auto" w:fill="deebf6" w:val="clear"/>
    </w:tcPr>
  </w:style>
  <w:style w:type="table" w:styleId="afff6" w:customStyle="1">
    <w:basedOn w:val="TableNormal1"/>
    <w:tblPr>
      <w:tblStyleRowBandSize w:val="1"/>
      <w:tblStyleColBandSize w:val="1"/>
      <w:tblCellMar>
        <w:left w:w="70.0" w:type="dxa"/>
        <w:right w:w="70.0" w:type="dxa"/>
      </w:tblCellMar>
    </w:tblPr>
    <w:tcPr>
      <w:shd w:color="auto" w:fill="deebf6" w:val="clear"/>
    </w:tcPr>
  </w:style>
  <w:style w:type="table" w:styleId="afff7" w:customStyle="1">
    <w:basedOn w:val="TableNormal1"/>
    <w:tblPr>
      <w:tblStyleRowBandSize w:val="1"/>
      <w:tblStyleColBandSize w:val="1"/>
      <w:tblCellMar>
        <w:left w:w="70.0" w:type="dxa"/>
        <w:right w:w="70.0" w:type="dxa"/>
      </w:tblCellMar>
    </w:tblPr>
    <w:tcPr>
      <w:shd w:color="auto" w:fill="deebf6" w:val="clear"/>
    </w:tcPr>
  </w:style>
  <w:style w:type="table" w:styleId="afff8" w:customStyle="1">
    <w:basedOn w:val="TableNormal1"/>
    <w:tblPr>
      <w:tblStyleRowBandSize w:val="1"/>
      <w:tblStyleColBandSize w:val="1"/>
      <w:tblCellMar>
        <w:left w:w="115.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fff9" w:customStyle="1">
    <w:basedOn w:val="TableNormal1"/>
    <w:tblPr>
      <w:tblStyleRowBandSize w:val="1"/>
      <w:tblStyleColBandSize w:val="1"/>
      <w:tblCellMar>
        <w:left w:w="115.0" w:type="dxa"/>
        <w:right w:w="115.0" w:type="dxa"/>
      </w:tblCellMar>
    </w:tblPr>
    <w:tcPr>
      <w:shd w:color="auto" w:fill="deebf6" w:val="clear"/>
    </w:tcPr>
  </w:style>
  <w:style w:type="table" w:styleId="afffa" w:customStyle="1">
    <w:basedOn w:val="TableNormal1"/>
    <w:tblPr>
      <w:tblStyleRowBandSize w:val="1"/>
      <w:tblStyleColBandSize w:val="1"/>
      <w:tblCellMar>
        <w:left w:w="115.0" w:type="dxa"/>
        <w:right w:w="115.0" w:type="dxa"/>
      </w:tblCellMar>
    </w:tblPr>
    <w:tcPr>
      <w:shd w:color="auto" w:fill="deebf6" w:val="clear"/>
    </w:tcPr>
  </w:style>
  <w:style w:type="table" w:styleId="afffb" w:customStyle="1">
    <w:basedOn w:val="TableNormal1"/>
    <w:tblPr>
      <w:tblStyleRowBandSize w:val="1"/>
      <w:tblStyleColBandSize w:val="1"/>
      <w:tblCellMar>
        <w:left w:w="115.0" w:type="dxa"/>
        <w:right w:w="115.0" w:type="dxa"/>
      </w:tblCellMar>
    </w:tblPr>
    <w:tcPr>
      <w:shd w:color="auto" w:fill="deebf6" w:val="clear"/>
    </w:tcPr>
  </w:style>
  <w:style w:type="table" w:styleId="afffc" w:customStyle="1">
    <w:basedOn w:val="TableNormal1"/>
    <w:tblPr>
      <w:tblStyleRowBandSize w:val="1"/>
      <w:tblStyleColBandSize w:val="1"/>
      <w:tblCellMar>
        <w:left w:w="115.0" w:type="dxa"/>
        <w:right w:w="115.0" w:type="dxa"/>
      </w:tblCellMar>
    </w:tblPr>
    <w:tcPr>
      <w:shd w:color="auto" w:fill="deebf6" w:val="clear"/>
    </w:tcPr>
  </w:style>
  <w:style w:type="table" w:styleId="afffd" w:customStyle="1">
    <w:basedOn w:val="TableNormal1"/>
    <w:tblPr>
      <w:tblStyleRowBandSize w:val="1"/>
      <w:tblStyleColBandSize w:val="1"/>
      <w:tblCellMar>
        <w:left w:w="115.0" w:type="dxa"/>
        <w:right w:w="115.0" w:type="dxa"/>
      </w:tblCellMar>
    </w:tblPr>
    <w:tcPr>
      <w:shd w:color="auto" w:fill="deebf6" w:val="clear"/>
    </w:tcPr>
  </w:style>
  <w:style w:type="table" w:styleId="afffe" w:customStyle="1">
    <w:basedOn w:val="TableNormal1"/>
    <w:tblPr>
      <w:tblStyleRowBandSize w:val="1"/>
      <w:tblStyleColBandSize w:val="1"/>
      <w:tblCellMar>
        <w:left w:w="115.0" w:type="dxa"/>
        <w:right w:w="115.0" w:type="dxa"/>
      </w:tblCellMar>
    </w:tblPr>
    <w:tcPr>
      <w:shd w:color="auto" w:fill="deebf6" w:val="clear"/>
    </w:tcPr>
  </w:style>
  <w:style w:type="table" w:styleId="affff" w:customStyle="1">
    <w:basedOn w:val="TableNormal1"/>
    <w:tblPr>
      <w:tblStyleRowBandSize w:val="1"/>
      <w:tblStyleColBandSize w:val="1"/>
      <w:tblCellMar>
        <w:left w:w="115.0" w:type="dxa"/>
        <w:right w:w="115.0" w:type="dxa"/>
      </w:tblCellMar>
    </w:tblPr>
    <w:tcPr>
      <w:shd w:color="auto" w:fill="deebf6" w:val="clear"/>
    </w:tcPr>
  </w:style>
  <w:style w:type="table" w:styleId="affff0" w:customStyle="1">
    <w:basedOn w:val="TableNormal1"/>
    <w:tblPr>
      <w:tblStyleRowBandSize w:val="1"/>
      <w:tblStyleColBandSize w:val="1"/>
      <w:tblCellMar>
        <w:left w:w="115.0" w:type="dxa"/>
        <w:right w:w="115.0" w:type="dxa"/>
      </w:tblCellMar>
    </w:tblPr>
    <w:tcPr>
      <w:shd w:color="auto" w:fill="deebf6" w:val="clear"/>
    </w:tcPr>
  </w:style>
  <w:style w:type="table" w:styleId="affff1" w:customStyle="1">
    <w:basedOn w:val="TableNormal1"/>
    <w:tblPr>
      <w:tblStyleRowBandSize w:val="1"/>
      <w:tblStyleColBandSize w:val="1"/>
      <w:tblCellMar>
        <w:left w:w="115.0" w:type="dxa"/>
        <w:right w:w="115.0" w:type="dxa"/>
      </w:tblCellMar>
    </w:tblPr>
    <w:tcPr>
      <w:shd w:color="auto" w:fill="deebf6" w:val="clear"/>
    </w:tcPr>
  </w:style>
  <w:style w:type="table" w:styleId="affff2" w:customStyle="1">
    <w:basedOn w:val="TableNormal1"/>
    <w:tblPr>
      <w:tblStyleRowBandSize w:val="1"/>
      <w:tblStyleColBandSize w:val="1"/>
      <w:tblCellMar>
        <w:left w:w="115.0" w:type="dxa"/>
        <w:right w:w="115.0" w:type="dxa"/>
      </w:tblCellMar>
    </w:tblPr>
    <w:tcPr>
      <w:shd w:color="auto" w:fill="deebf6" w:val="clear"/>
    </w:tcPr>
  </w:style>
  <w:style w:type="table" w:styleId="affff3" w:customStyle="1">
    <w:basedOn w:val="TableNormal1"/>
    <w:tblPr>
      <w:tblStyleRowBandSize w:val="1"/>
      <w:tblStyleColBandSize w:val="1"/>
      <w:tblCellMar>
        <w:left w:w="115.0" w:type="dxa"/>
        <w:right w:w="115.0" w:type="dxa"/>
      </w:tblCellMar>
    </w:tblPr>
    <w:tcPr>
      <w:shd w:color="auto" w:fill="deebf6" w:val="clear"/>
    </w:tcPr>
  </w:style>
  <w:style w:type="table" w:styleId="affff4" w:customStyle="1">
    <w:basedOn w:val="TableNormal1"/>
    <w:tblPr>
      <w:tblStyleRowBandSize w:val="1"/>
      <w:tblStyleColBandSize w:val="1"/>
      <w:tblCellMar>
        <w:left w:w="115.0" w:type="dxa"/>
        <w:right w:w="115.0" w:type="dxa"/>
      </w:tblCellMar>
    </w:tblPr>
    <w:tcPr>
      <w:shd w:color="auto" w:fill="deebf6" w:val="clear"/>
    </w:tcPr>
  </w:style>
  <w:style w:type="table" w:styleId="affff5" w:customStyle="1">
    <w:basedOn w:val="TableNormal1"/>
    <w:tblPr>
      <w:tblStyleRowBandSize w:val="1"/>
      <w:tblStyleColBandSize w:val="1"/>
      <w:tblCellMar>
        <w:left w:w="115.0" w:type="dxa"/>
        <w:right w:w="115.0" w:type="dxa"/>
      </w:tblCellMar>
    </w:tblPr>
    <w:tcPr>
      <w:shd w:color="auto" w:fill="deebf6" w:val="clear"/>
    </w:tcPr>
  </w:style>
  <w:style w:type="table" w:styleId="affff6" w:customStyle="1">
    <w:basedOn w:val="TableNormal1"/>
    <w:tblPr>
      <w:tblStyleRowBandSize w:val="1"/>
      <w:tblStyleColBandSize w:val="1"/>
      <w:tblCellMar>
        <w:left w:w="115.0" w:type="dxa"/>
        <w:right w:w="115.0" w:type="dxa"/>
      </w:tblCellMar>
    </w:tblPr>
    <w:tcPr>
      <w:shd w:color="auto" w:fill="deebf6" w:val="clear"/>
    </w:tcPr>
  </w:style>
  <w:style w:type="table" w:styleId="affff7" w:customStyle="1">
    <w:basedOn w:val="TableNormal1"/>
    <w:tblPr>
      <w:tblStyleRowBandSize w:val="1"/>
      <w:tblStyleColBandSize w:val="1"/>
      <w:tblCellMar>
        <w:left w:w="115.0" w:type="dxa"/>
        <w:right w:w="115.0" w:type="dxa"/>
      </w:tblCellMar>
    </w:tblPr>
    <w:tcPr>
      <w:shd w:color="auto" w:fill="deebf6" w:val="clear"/>
    </w:tcPr>
  </w:style>
  <w:style w:type="table" w:styleId="affff8" w:customStyle="1">
    <w:basedOn w:val="TableNormal1"/>
    <w:tblPr>
      <w:tblStyleRowBandSize w:val="1"/>
      <w:tblStyleColBandSize w:val="1"/>
      <w:tblCellMar>
        <w:left w:w="115.0" w:type="dxa"/>
        <w:right w:w="115.0" w:type="dxa"/>
      </w:tblCellMar>
    </w:tblPr>
    <w:tcPr>
      <w:shd w:color="auto" w:fill="deebf6" w:val="clear"/>
    </w:tcPr>
  </w:style>
  <w:style w:type="table" w:styleId="affff9" w:customStyle="1">
    <w:basedOn w:val="TableNormal1"/>
    <w:tblPr>
      <w:tblStyleRowBandSize w:val="1"/>
      <w:tblStyleColBandSize w:val="1"/>
      <w:tblCellMar>
        <w:left w:w="115.0" w:type="dxa"/>
        <w:right w:w="115.0" w:type="dxa"/>
      </w:tblCellMar>
    </w:tblPr>
    <w:tcPr>
      <w:shd w:color="auto" w:fill="deebf6" w:val="clear"/>
    </w:tcPr>
  </w:style>
  <w:style w:type="table" w:styleId="affffa" w:customStyle="1">
    <w:basedOn w:val="TableNormal1"/>
    <w:tblPr>
      <w:tblStyleRowBandSize w:val="1"/>
      <w:tblStyleColBandSize w:val="1"/>
      <w:tblCellMar>
        <w:left w:w="115.0" w:type="dxa"/>
        <w:right w:w="115.0" w:type="dxa"/>
      </w:tblCellMar>
    </w:tblPr>
    <w:tcPr>
      <w:shd w:color="auto" w:fill="deebf6" w:val="clear"/>
    </w:tcPr>
  </w:style>
  <w:style w:type="table" w:styleId="affffb" w:customStyle="1">
    <w:basedOn w:val="TableNormal1"/>
    <w:tblPr>
      <w:tblStyleRowBandSize w:val="1"/>
      <w:tblStyleColBandSize w:val="1"/>
      <w:tblCellMar>
        <w:left w:w="115.0" w:type="dxa"/>
        <w:right w:w="115.0" w:type="dxa"/>
      </w:tblCellMar>
    </w:tblPr>
    <w:tcPr>
      <w:shd w:color="auto" w:fill="deebf6" w:val="clear"/>
    </w:tcPr>
  </w:style>
  <w:style w:type="table" w:styleId="affffc" w:customStyle="1">
    <w:basedOn w:val="TableNormal1"/>
    <w:tblPr>
      <w:tblStyleRowBandSize w:val="1"/>
      <w:tblStyleColBandSize w:val="1"/>
      <w:tblCellMar>
        <w:left w:w="115.0" w:type="dxa"/>
        <w:right w:w="115.0" w:type="dxa"/>
      </w:tblCellMar>
    </w:tblPr>
    <w:tcPr>
      <w:shd w:color="auto" w:fill="deebf6" w:val="clear"/>
    </w:tcPr>
  </w:style>
  <w:style w:type="table" w:styleId="affffd" w:customStyle="1">
    <w:basedOn w:val="TableNormal1"/>
    <w:tblPr>
      <w:tblStyleRowBandSize w:val="1"/>
      <w:tblStyleColBandSize w:val="1"/>
      <w:tblCellMar>
        <w:left w:w="115.0" w:type="dxa"/>
        <w:right w:w="115.0" w:type="dxa"/>
      </w:tblCellMar>
    </w:tblPr>
    <w:tcPr>
      <w:shd w:color="auto" w:fill="deebf6" w:val="clear"/>
    </w:tcPr>
  </w:style>
  <w:style w:type="table" w:styleId="affffe" w:customStyle="1">
    <w:basedOn w:val="TableNormal1"/>
    <w:tblPr>
      <w:tblStyleRowBandSize w:val="1"/>
      <w:tblStyleColBandSize w:val="1"/>
      <w:tblCellMar>
        <w:left w:w="115.0" w:type="dxa"/>
        <w:right w:w="115.0" w:type="dxa"/>
      </w:tblCellMar>
    </w:tblPr>
    <w:tcPr>
      <w:shd w:color="auto" w:fill="deebf6" w:val="clear"/>
    </w:tcPr>
  </w:style>
  <w:style w:type="table" w:styleId="afffff" w:customStyle="1">
    <w:basedOn w:val="TableNormal1"/>
    <w:tblPr>
      <w:tblStyleRowBandSize w:val="1"/>
      <w:tblStyleColBandSize w:val="1"/>
      <w:tblCellMar>
        <w:left w:w="115.0" w:type="dxa"/>
        <w:right w:w="115.0" w:type="dxa"/>
      </w:tblCellMar>
    </w:tblPr>
    <w:tcPr>
      <w:shd w:color="auto" w:fill="deebf6" w:val="clear"/>
    </w:tcPr>
  </w:style>
  <w:style w:type="table" w:styleId="afffff0" w:customStyle="1">
    <w:basedOn w:val="TableNormal1"/>
    <w:tblPr>
      <w:tblStyleRowBandSize w:val="1"/>
      <w:tblStyleColBandSize w:val="1"/>
      <w:tblCellMar>
        <w:left w:w="115.0" w:type="dxa"/>
        <w:right w:w="115.0" w:type="dxa"/>
      </w:tblCellMar>
    </w:tblPr>
    <w:tcPr>
      <w:shd w:color="auto" w:fill="deebf6" w:val="clear"/>
    </w:tcPr>
  </w:style>
  <w:style w:type="table" w:styleId="afffff1" w:customStyle="1">
    <w:basedOn w:val="TableNormal1"/>
    <w:tblPr>
      <w:tblStyleRowBandSize w:val="1"/>
      <w:tblStyleColBandSize w:val="1"/>
      <w:tblCellMar>
        <w:left w:w="115.0" w:type="dxa"/>
        <w:right w:w="115.0" w:type="dxa"/>
      </w:tblCellMar>
    </w:tblPr>
    <w:tcPr>
      <w:shd w:color="auto" w:fill="deebf6" w:val="clear"/>
    </w:tcPr>
  </w:style>
  <w:style w:type="table" w:styleId="afffff2" w:customStyle="1">
    <w:basedOn w:val="TableNormal1"/>
    <w:tblPr>
      <w:tblStyleRowBandSize w:val="1"/>
      <w:tblStyleColBandSize w:val="1"/>
      <w:tblCellMar>
        <w:left w:w="115.0" w:type="dxa"/>
        <w:right w:w="115.0" w:type="dxa"/>
      </w:tblCellMar>
    </w:tblPr>
    <w:tcPr>
      <w:shd w:color="auto" w:fill="deebf6" w:val="clear"/>
    </w:tcPr>
  </w:style>
  <w:style w:type="table" w:styleId="afffff3" w:customStyle="1">
    <w:basedOn w:val="TableNormal1"/>
    <w:tblPr>
      <w:tblStyleRowBandSize w:val="1"/>
      <w:tblStyleColBandSize w:val="1"/>
      <w:tblCellMar>
        <w:left w:w="115.0" w:type="dxa"/>
        <w:right w:w="115.0" w:type="dxa"/>
      </w:tblCellMar>
    </w:tblPr>
    <w:tcPr>
      <w:shd w:color="auto" w:fill="deebf6" w:val="clear"/>
    </w:tcPr>
  </w:style>
  <w:style w:type="table" w:styleId="afffff4" w:customStyle="1">
    <w:basedOn w:val="TableNormal1"/>
    <w:tblPr>
      <w:tblStyleRowBandSize w:val="1"/>
      <w:tblStyleColBandSize w:val="1"/>
      <w:tblCellMar>
        <w:left w:w="115.0" w:type="dxa"/>
        <w:right w:w="115.0" w:type="dxa"/>
      </w:tblCellMar>
    </w:tblPr>
    <w:tcPr>
      <w:shd w:color="auto" w:fill="deebf6"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19">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0">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1">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2">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3">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4">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5">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6">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7">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8">
    <w:basedOn w:val="TableNormal"/>
    <w:tblPr>
      <w:tblStyleRowBandSize w:val="1"/>
      <w:tblStyleColBandSize w:val="1"/>
      <w:tblCellMar>
        <w:top w:w="0.0" w:type="dxa"/>
        <w:left w:w="115.0" w:type="dxa"/>
        <w:bottom w:w="0.0" w:type="dxa"/>
        <w:right w:w="115.0" w:type="dxa"/>
      </w:tblCellMar>
    </w:tblPr>
    <w:tcPr>
      <w:shd w:fill="deebf6" w:val="clear"/>
    </w:tcPr>
  </w:style>
  <w:style w:type="table" w:styleId="Table29">
    <w:basedOn w:val="TableNormal"/>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1" Type="http://schemas.openxmlformats.org/officeDocument/2006/relationships/hyperlink" Target="https://minciencias.gov.co/sites/default/files/upload/reglamentacion/resolucion426-2014.pdf"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hyperlink" Target="https://minciencias.gov.co/sites/default/files/upload/reglamentacion/resolucion426-201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7+Rf9Nkv62XhVXkEFOvn78hV5g==">AMUW2mU62KlxyiyGkIcC0hh0YhToY95DKSB9CuNnj18XaFvZfRX2qUhkn3YZjy9tgnd6w5Suf90usXiFUPJpGvI0JhxBkG+h/GU0jRKbcxPFp3ORJWdZJccm3ZNjShkwGAqS/Oas5RWA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2022-11-12T05:37:00Z</dcterms:created>
  <dc:creator>Microsoft Office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8a1cbe23f068fabb971fc889cb421dcac0213e243706937af4823bd101117dd1</vt:lpwstr>
  </property>
</Properties>
</file>